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EA75B">
      <w:pPr>
        <w:spacing w:line="380" w:lineRule="exact"/>
        <w:rPr>
          <w:rFonts w:ascii="黑体" w:hAnsi="宋体" w:eastAsia="黑体"/>
          <w:color w:val="000000"/>
          <w:kern w:val="0"/>
          <w:sz w:val="32"/>
          <w:szCs w:val="32"/>
        </w:rPr>
      </w:pPr>
    </w:p>
    <w:p w14:paraId="00C4922A">
      <w:pPr>
        <w:spacing w:line="380" w:lineRule="exact"/>
        <w:rPr>
          <w:rFonts w:ascii="黑体" w:hAnsi="宋体" w:eastAsia="黑体"/>
          <w:color w:val="000000"/>
          <w:kern w:val="0"/>
          <w:sz w:val="30"/>
          <w:szCs w:val="30"/>
        </w:rPr>
      </w:pPr>
    </w:p>
    <w:p w14:paraId="14F68F2A">
      <w:pPr>
        <w:spacing w:line="760" w:lineRule="exact"/>
        <w:rPr>
          <w:rFonts w:ascii="黑体" w:hAnsi="宋体" w:eastAsia="黑体"/>
          <w:color w:val="FF0000"/>
          <w:kern w:val="0"/>
          <w:sz w:val="30"/>
          <w:szCs w:val="30"/>
        </w:rPr>
      </w:pPr>
    </w:p>
    <w:p w14:paraId="0F1F6496">
      <w:pPr>
        <w:jc w:val="center"/>
        <w:rPr>
          <w:rFonts w:ascii="方正小标宋简体" w:hAnsi="宋体" w:eastAsia="方正小标宋简体"/>
          <w:color w:val="FF0000"/>
          <w:spacing w:val="266"/>
          <w:w w:val="72"/>
          <w:kern w:val="0"/>
          <w:sz w:val="72"/>
          <w:szCs w:val="72"/>
        </w:rPr>
      </w:pPr>
      <w:r>
        <w:rPr>
          <w:rFonts w:hint="eastAsia" w:ascii="方正小标宋简体" w:hAnsi="宋体" w:eastAsia="方正小标宋简体"/>
          <w:color w:val="FF0000"/>
          <w:spacing w:val="62"/>
          <w:kern w:val="0"/>
          <w:sz w:val="72"/>
          <w:szCs w:val="72"/>
          <w:fitText w:val="8320" w:id="184295936"/>
        </w:rPr>
        <w:t>上海市教育委员会文</w:t>
      </w:r>
      <w:r>
        <w:rPr>
          <w:rFonts w:hint="eastAsia" w:ascii="方正小标宋简体" w:hAnsi="宋体" w:eastAsia="方正小标宋简体"/>
          <w:color w:val="FF0000"/>
          <w:spacing w:val="2"/>
          <w:kern w:val="0"/>
          <w:sz w:val="72"/>
          <w:szCs w:val="72"/>
          <w:fitText w:val="8320" w:id="184295936"/>
        </w:rPr>
        <w:t>件</w:t>
      </w:r>
    </w:p>
    <w:p w14:paraId="5C507276">
      <w:pPr>
        <w:spacing w:line="580" w:lineRule="exact"/>
        <w:rPr>
          <w:rFonts w:ascii="黑体" w:hAnsi="华文中宋" w:eastAsia="黑体"/>
          <w:sz w:val="30"/>
          <w:szCs w:val="30"/>
        </w:rPr>
      </w:pPr>
    </w:p>
    <w:p w14:paraId="5BA15C5E">
      <w:pPr>
        <w:spacing w:line="580" w:lineRule="exact"/>
        <w:rPr>
          <w:rFonts w:ascii="文鼎大标宋简" w:hAnsi="华文中宋" w:eastAsia="文鼎大标宋简"/>
          <w:sz w:val="36"/>
          <w:szCs w:val="36"/>
        </w:rPr>
      </w:pPr>
    </w:p>
    <w:p w14:paraId="784204E4">
      <w:pPr>
        <w:pBdr>
          <w:top w:val="none" w:color="auto" w:sz="0" w:space="1"/>
          <w:left w:val="none" w:color="auto" w:sz="0" w:space="4"/>
          <w:bottom w:val="single" w:color="FF0000" w:sz="12" w:space="1"/>
          <w:right w:val="none" w:color="auto" w:sz="0" w:space="4"/>
        </w:pBdr>
        <w:spacing w:line="560" w:lineRule="exact"/>
        <w:ind w:right="31" w:rightChars="15"/>
        <w:jc w:val="center"/>
        <w:rPr>
          <w:rFonts w:ascii="仿宋_GB2312" w:eastAsia="仿宋_GB2312"/>
          <w:sz w:val="32"/>
        </w:rPr>
      </w:pPr>
      <w:r>
        <w:rPr>
          <w:rFonts w:hint="eastAsia" w:ascii="仿宋_GB2312" w:eastAsia="仿宋_GB2312"/>
          <w:sz w:val="30"/>
          <w:szCs w:val="30"/>
        </w:rPr>
        <w:t>沪教委职</w:t>
      </w:r>
      <w:r>
        <w:rPr>
          <w:rFonts w:ascii="仿宋_GB2312" w:eastAsia="仿宋_GB2312"/>
          <w:sz w:val="30"/>
          <w:szCs w:val="30"/>
        </w:rPr>
        <w:t>〔</w:t>
      </w:r>
      <w:r>
        <w:rPr>
          <w:rFonts w:hint="eastAsia" w:ascii="仿宋_GB2312" w:eastAsia="仿宋_GB2312"/>
          <w:sz w:val="30"/>
          <w:szCs w:val="30"/>
        </w:rPr>
        <w:t>2024</w:t>
      </w:r>
      <w:r>
        <w:rPr>
          <w:rFonts w:ascii="仿宋_GB2312" w:eastAsia="仿宋_GB2312"/>
          <w:sz w:val="30"/>
          <w:szCs w:val="30"/>
        </w:rPr>
        <w:t>〕</w:t>
      </w:r>
      <w:r>
        <w:rPr>
          <w:rFonts w:hint="eastAsia" w:ascii="仿宋_GB2312" w:eastAsia="仿宋_GB2312"/>
          <w:sz w:val="30"/>
          <w:szCs w:val="30"/>
        </w:rPr>
        <w:t xml:space="preserve">39号                    </w:t>
      </w:r>
    </w:p>
    <w:p w14:paraId="2BB3D217">
      <w:pPr>
        <w:spacing w:line="560" w:lineRule="exact"/>
        <w:jc w:val="center"/>
        <w:rPr>
          <w:rFonts w:ascii="仿宋_GB2312" w:eastAsia="仿宋_GB2312"/>
          <w:sz w:val="32"/>
        </w:rPr>
      </w:pPr>
    </w:p>
    <w:p w14:paraId="168E081B">
      <w:pPr>
        <w:spacing w:line="560" w:lineRule="exact"/>
        <w:jc w:val="center"/>
        <w:rPr>
          <w:rFonts w:ascii="仿宋_GB2312" w:eastAsia="仿宋_GB2312"/>
          <w:sz w:val="32"/>
        </w:rPr>
      </w:pPr>
    </w:p>
    <w:p w14:paraId="67F8ABDF">
      <w:pPr>
        <w:spacing w:line="540" w:lineRule="exact"/>
        <w:jc w:val="center"/>
        <w:rPr>
          <w:rFonts w:ascii="方正小标宋简体" w:eastAsia="方正小标宋简体"/>
          <w:color w:val="000000"/>
          <w:sz w:val="38"/>
          <w:szCs w:val="38"/>
        </w:rPr>
      </w:pPr>
      <w:bookmarkStart w:id="0" w:name="_GoBack"/>
      <w:r>
        <w:rPr>
          <w:rFonts w:hint="eastAsia" w:ascii="方正小标宋简体" w:eastAsia="方正小标宋简体"/>
          <w:sz w:val="38"/>
          <w:szCs w:val="38"/>
        </w:rPr>
        <w:t>上海市教育委员会关于</w:t>
      </w:r>
      <w:r>
        <w:rPr>
          <w:rFonts w:hint="eastAsia" w:ascii="方正小标宋简体" w:eastAsia="方正小标宋简体"/>
          <w:color w:val="000000"/>
          <w:sz w:val="38"/>
          <w:szCs w:val="38"/>
        </w:rPr>
        <w:t>转发《上海市教育考试院</w:t>
      </w:r>
    </w:p>
    <w:p w14:paraId="15DFA1C6">
      <w:pPr>
        <w:spacing w:line="540" w:lineRule="exact"/>
        <w:jc w:val="center"/>
        <w:rPr>
          <w:rFonts w:ascii="方正小标宋简体" w:eastAsia="方正小标宋简体"/>
          <w:color w:val="000000"/>
          <w:sz w:val="38"/>
          <w:szCs w:val="38"/>
        </w:rPr>
      </w:pPr>
      <w:r>
        <w:rPr>
          <w:rFonts w:hint="eastAsia" w:ascii="方正小标宋简体" w:eastAsia="方正小标宋简体"/>
          <w:color w:val="000000"/>
          <w:sz w:val="38"/>
          <w:szCs w:val="38"/>
        </w:rPr>
        <w:t>关于2024年上海市中等职业学校学业水平考试的</w:t>
      </w:r>
    </w:p>
    <w:p w14:paraId="578BB878">
      <w:pPr>
        <w:spacing w:line="560" w:lineRule="exact"/>
        <w:jc w:val="center"/>
        <w:rPr>
          <w:rFonts w:ascii="方正小标宋简体" w:eastAsia="方正小标宋简体"/>
          <w:sz w:val="38"/>
          <w:szCs w:val="38"/>
        </w:rPr>
      </w:pPr>
      <w:r>
        <w:rPr>
          <w:rFonts w:hint="eastAsia" w:ascii="方正小标宋简体" w:eastAsia="方正小标宋简体"/>
          <w:color w:val="000000"/>
          <w:sz w:val="38"/>
          <w:szCs w:val="38"/>
        </w:rPr>
        <w:t>实施细则》的通知</w:t>
      </w:r>
    </w:p>
    <w:bookmarkEnd w:id="0"/>
    <w:p w14:paraId="7F307879">
      <w:pPr>
        <w:spacing w:line="540" w:lineRule="exact"/>
        <w:rPr>
          <w:rFonts w:ascii="仿宋_GB2312" w:eastAsia="仿宋_GB2312"/>
          <w:sz w:val="30"/>
          <w:szCs w:val="30"/>
        </w:rPr>
      </w:pPr>
    </w:p>
    <w:p w14:paraId="396EBD64">
      <w:pPr>
        <w:spacing w:line="560" w:lineRule="exact"/>
        <w:rPr>
          <w:rFonts w:ascii="仿宋_GB2312" w:hAnsi="宋体" w:eastAsia="仿宋_GB2312"/>
          <w:sz w:val="30"/>
          <w:szCs w:val="30"/>
        </w:rPr>
      </w:pPr>
      <w:r>
        <w:rPr>
          <w:rFonts w:hint="eastAsia" w:ascii="仿宋_GB2312" w:hAnsi="宋体" w:eastAsia="仿宋_GB2312"/>
          <w:sz w:val="30"/>
          <w:szCs w:val="30"/>
        </w:rPr>
        <w:t>各区教育局，各有关部、委、局、控股（集团）公司：</w:t>
      </w:r>
    </w:p>
    <w:p w14:paraId="001B77BE">
      <w:pPr>
        <w:spacing w:line="560" w:lineRule="exact"/>
        <w:ind w:firstLine="600" w:firstLineChars="200"/>
        <w:textAlignment w:val="baseline"/>
        <w:rPr>
          <w:rFonts w:ascii="仿宋_GB2312" w:hAnsi="宋体" w:eastAsia="仿宋_GB2312"/>
          <w:sz w:val="30"/>
          <w:szCs w:val="30"/>
        </w:rPr>
      </w:pPr>
      <w:r>
        <w:rPr>
          <w:rFonts w:hint="eastAsia" w:ascii="仿宋_GB2312" w:hAnsi="宋体" w:eastAsia="仿宋_GB2312"/>
          <w:sz w:val="30"/>
          <w:szCs w:val="30"/>
        </w:rPr>
        <w:t>现将《</w:t>
      </w:r>
      <w:r>
        <w:rPr>
          <w:rFonts w:hint="eastAsia" w:ascii="仿宋_GB2312" w:hAnsi="仿宋" w:eastAsia="仿宋_GB2312"/>
          <w:sz w:val="30"/>
          <w:szCs w:val="30"/>
        </w:rPr>
        <w:t>上海市教育考试院关于2024年上海市中等职业学校学业水平考试的实施细则</w:t>
      </w:r>
      <w:r>
        <w:rPr>
          <w:rFonts w:hint="eastAsia" w:ascii="仿宋_GB2312" w:hAnsi="宋体" w:eastAsia="仿宋_GB2312"/>
          <w:sz w:val="30"/>
          <w:szCs w:val="30"/>
        </w:rPr>
        <w:t>》转发给你们，请认真按照执行。</w:t>
      </w:r>
    </w:p>
    <w:p w14:paraId="5CEC6048">
      <w:pPr>
        <w:spacing w:line="560" w:lineRule="exact"/>
        <w:textAlignment w:val="baseline"/>
        <w:rPr>
          <w:rFonts w:ascii="仿宋_GB2312" w:hAnsi="宋体" w:eastAsia="仿宋_GB2312"/>
          <w:sz w:val="30"/>
          <w:szCs w:val="30"/>
        </w:rPr>
      </w:pPr>
    </w:p>
    <w:p w14:paraId="1CAB9E6B">
      <w:pPr>
        <w:spacing w:line="560" w:lineRule="exact"/>
        <w:ind w:left="1538" w:leftChars="304" w:hanging="900" w:hangingChars="300"/>
        <w:textAlignment w:val="baseline"/>
        <w:rPr>
          <w:rFonts w:ascii="仿宋_GB2312" w:hAnsi="仿宋" w:eastAsia="仿宋_GB2312"/>
          <w:sz w:val="30"/>
          <w:szCs w:val="30"/>
        </w:rPr>
      </w:pPr>
      <w:r>
        <w:rPr>
          <w:rFonts w:hint="eastAsia" w:ascii="仿宋_GB2312" w:hAnsi="仿宋" w:eastAsia="仿宋_GB2312"/>
          <w:sz w:val="30"/>
          <w:szCs w:val="30"/>
        </w:rPr>
        <w:t>附件：上海市教育考试院关于2024年上海市中等职业学校学业水平考试的实施细则</w:t>
      </w:r>
    </w:p>
    <w:p w14:paraId="72BAD2A6">
      <w:pPr>
        <w:spacing w:line="520" w:lineRule="exact"/>
        <w:ind w:right="-397" w:rightChars="-189"/>
        <w:jc w:val="left"/>
        <w:rPr>
          <w:rFonts w:ascii="黑体" w:hAnsi="华文中宋" w:eastAsia="黑体" w:cs="宋体"/>
          <w:sz w:val="32"/>
          <w:szCs w:val="32"/>
        </w:rPr>
      </w:pPr>
    </w:p>
    <w:p w14:paraId="560528E0">
      <w:pPr>
        <w:spacing w:line="560" w:lineRule="exact"/>
        <w:ind w:right="361" w:firstLine="4650" w:firstLineChars="1550"/>
        <w:rPr>
          <w:rFonts w:ascii="仿宋_GB2312" w:eastAsia="仿宋_GB2312"/>
          <w:sz w:val="30"/>
          <w:szCs w:val="30"/>
        </w:rPr>
      </w:pPr>
      <w:r>
        <w:rPr>
          <w:rFonts w:hint="eastAsia" w:ascii="仿宋_GB2312" w:eastAsia="仿宋_GB2312"/>
          <w:sz w:val="30"/>
          <w:szCs w:val="30"/>
        </w:rPr>
        <w:t>上 海 市 教 育 委 员 会</w:t>
      </w:r>
    </w:p>
    <w:p w14:paraId="688B053E">
      <w:pPr>
        <w:tabs>
          <w:tab w:val="left" w:pos="7380"/>
          <w:tab w:val="left" w:pos="7560"/>
        </w:tabs>
        <w:spacing w:line="560" w:lineRule="exact"/>
        <w:ind w:right="361" w:firstLine="5244" w:firstLineChars="1748"/>
        <w:rPr>
          <w:rFonts w:ascii="仿宋_GB2312" w:eastAsia="仿宋_GB2312"/>
          <w:sz w:val="30"/>
          <w:szCs w:val="30"/>
        </w:rPr>
      </w:pPr>
      <w:r>
        <w:rPr>
          <w:rFonts w:hint="eastAsia" w:ascii="仿宋_GB2312" w:eastAsia="仿宋_GB2312"/>
          <w:sz w:val="30"/>
          <w:szCs w:val="30"/>
        </w:rPr>
        <w:t>2024年10月15日</w:t>
      </w:r>
    </w:p>
    <w:p w14:paraId="7E4FE904">
      <w:pPr>
        <w:spacing w:line="120" w:lineRule="exact"/>
        <w:textAlignment w:val="baseline"/>
        <w:rPr>
          <w:rFonts w:ascii="仿宋_GB2312" w:eastAsia="仿宋_GB2312"/>
          <w:sz w:val="32"/>
          <w:szCs w:val="32"/>
        </w:rPr>
      </w:pPr>
    </w:p>
    <w:p w14:paraId="0F03F911">
      <w:pPr>
        <w:spacing w:line="500" w:lineRule="exact"/>
        <w:jc w:val="left"/>
        <w:rPr>
          <w:rFonts w:ascii="黑体" w:hAnsi="黑体" w:eastAsia="黑体"/>
          <w:sz w:val="32"/>
          <w:szCs w:val="32"/>
        </w:rPr>
      </w:pPr>
      <w:r>
        <w:rPr>
          <w:rFonts w:hint="eastAsia" w:ascii="黑体" w:hAnsi="黑体" w:eastAsia="黑体"/>
          <w:sz w:val="32"/>
          <w:szCs w:val="32"/>
        </w:rPr>
        <w:t>附件</w:t>
      </w:r>
    </w:p>
    <w:p w14:paraId="657DB5FA">
      <w:pPr>
        <w:spacing w:line="500" w:lineRule="exact"/>
        <w:jc w:val="left"/>
        <w:rPr>
          <w:rFonts w:ascii="黑体" w:hAnsi="黑体" w:eastAsia="黑体"/>
          <w:sz w:val="32"/>
          <w:szCs w:val="32"/>
        </w:rPr>
      </w:pPr>
    </w:p>
    <w:p w14:paraId="56949C16">
      <w:pPr>
        <w:spacing w:line="320" w:lineRule="exact"/>
        <w:jc w:val="left"/>
        <w:rPr>
          <w:rFonts w:ascii="黑体" w:hAnsi="黑体" w:eastAsia="黑体"/>
          <w:sz w:val="32"/>
          <w:szCs w:val="32"/>
        </w:rPr>
      </w:pPr>
    </w:p>
    <w:p w14:paraId="00A5A07D">
      <w:pPr>
        <w:spacing w:line="640" w:lineRule="exact"/>
        <w:jc w:val="center"/>
        <w:rPr>
          <w:rFonts w:ascii="方正小标宋简体" w:eastAsia="方正小标宋简体"/>
          <w:sz w:val="44"/>
          <w:szCs w:val="44"/>
        </w:rPr>
      </w:pPr>
      <w:r>
        <w:rPr>
          <w:rFonts w:hint="eastAsia" w:ascii="方正小标宋简体" w:eastAsia="方正小标宋简体"/>
          <w:sz w:val="38"/>
          <w:szCs w:val="38"/>
        </w:rPr>
        <w:t>上海市教育考试院关于2024年上海市中等职业学校学业水平考试的实施细则</w:t>
      </w:r>
    </w:p>
    <w:p w14:paraId="3E4A5601">
      <w:pPr>
        <w:spacing w:line="320" w:lineRule="exact"/>
        <w:jc w:val="center"/>
        <w:rPr>
          <w:rFonts w:ascii="方正小标宋简体" w:eastAsia="方正小标宋简体"/>
          <w:sz w:val="44"/>
          <w:szCs w:val="44"/>
        </w:rPr>
      </w:pPr>
    </w:p>
    <w:p w14:paraId="75FFEA8F">
      <w:pPr>
        <w:spacing w:line="320" w:lineRule="exact"/>
        <w:jc w:val="center"/>
        <w:rPr>
          <w:rFonts w:ascii="方正小标宋简体" w:eastAsia="方正小标宋简体"/>
          <w:sz w:val="44"/>
          <w:szCs w:val="44"/>
        </w:rPr>
      </w:pPr>
    </w:p>
    <w:p w14:paraId="40704FF3">
      <w:pPr>
        <w:spacing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根据《上海市教育委员会关于印发&lt;上海市中等职业学校学生学业水平评价实施办法&gt;的通知》（沪教委规〔2021〕7号）要求，为做好2024年上海市中等职业学校学业水平考试（以下简称“中职学业考”）的考务工作，特制定本细则。</w:t>
      </w:r>
    </w:p>
    <w:p w14:paraId="0114696E">
      <w:pPr>
        <w:spacing w:line="600" w:lineRule="exact"/>
        <w:ind w:firstLine="600" w:firstLineChars="200"/>
        <w:rPr>
          <w:rFonts w:ascii="黑体" w:hAnsi="黑体" w:eastAsia="黑体"/>
          <w:sz w:val="30"/>
          <w:szCs w:val="30"/>
        </w:rPr>
      </w:pPr>
      <w:r>
        <w:rPr>
          <w:rFonts w:hint="eastAsia" w:ascii="黑体" w:hAnsi="黑体" w:eastAsia="黑体"/>
          <w:sz w:val="30"/>
          <w:szCs w:val="30"/>
        </w:rPr>
        <w:t>一、考试方式与安排</w:t>
      </w:r>
    </w:p>
    <w:p w14:paraId="7FEBCAE2">
      <w:pPr>
        <w:spacing w:line="600" w:lineRule="exact"/>
        <w:ind w:firstLine="600" w:firstLineChars="200"/>
        <w:rPr>
          <w:rFonts w:ascii="仿宋_GB2312" w:hAnsi="仿宋" w:eastAsia="仿宋_GB2312"/>
          <w:color w:val="000000"/>
          <w:sz w:val="30"/>
          <w:szCs w:val="30"/>
        </w:rPr>
      </w:pPr>
      <w:r>
        <w:rPr>
          <w:rFonts w:hint="eastAsia" w:ascii="仿宋_GB2312" w:hAnsi="仿宋" w:eastAsia="仿宋_GB2312"/>
          <w:sz w:val="30"/>
          <w:szCs w:val="30"/>
        </w:rPr>
        <w:t>中职学业考由上海市教育考试院统一命题、统一评卷，市和区招生考试机构负责考试的组织和实施工作。</w:t>
      </w:r>
    </w:p>
    <w:p w14:paraId="41FF2A2F">
      <w:pPr>
        <w:spacing w:line="600" w:lineRule="exact"/>
        <w:ind w:firstLine="600" w:firstLineChars="200"/>
        <w:rPr>
          <w:rFonts w:ascii="楷体_GB2312" w:hAnsi="楷体_GB2312" w:eastAsia="楷体_GB2312" w:cs="楷体_GB2312"/>
          <w:sz w:val="30"/>
          <w:szCs w:val="30"/>
        </w:rPr>
      </w:pPr>
      <w:r>
        <w:rPr>
          <w:rFonts w:hint="eastAsia" w:ascii="楷体_GB2312" w:hAnsi="楷体_GB2312" w:eastAsia="楷体_GB2312" w:cs="楷体_GB2312"/>
          <w:color w:val="000000"/>
          <w:sz w:val="30"/>
          <w:szCs w:val="30"/>
        </w:rPr>
        <w:t>（一）考试方式</w:t>
      </w:r>
    </w:p>
    <w:p w14:paraId="67D268C0">
      <w:pPr>
        <w:spacing w:line="600" w:lineRule="exact"/>
        <w:ind w:firstLine="600" w:firstLineChars="200"/>
        <w:rPr>
          <w:rFonts w:ascii="仿宋_GB2312" w:hAnsi="宋体" w:eastAsia="仿宋_GB2312"/>
          <w:sz w:val="30"/>
          <w:szCs w:val="30"/>
        </w:rPr>
      </w:pPr>
      <w:r>
        <w:rPr>
          <w:rFonts w:hint="eastAsia" w:ascii="仿宋_GB2312" w:hAnsi="仿宋" w:eastAsia="仿宋_GB2312"/>
          <w:color w:val="000000"/>
          <w:sz w:val="30"/>
          <w:szCs w:val="30"/>
        </w:rPr>
        <w:t>考试科目包括</w:t>
      </w:r>
      <w:r>
        <w:rPr>
          <w:rFonts w:hint="eastAsia" w:ascii="仿宋_GB2312" w:hAnsi="仿宋" w:eastAsia="仿宋_GB2312"/>
          <w:sz w:val="30"/>
          <w:szCs w:val="30"/>
        </w:rPr>
        <w:t>语文、数学、英语和信息技术。</w:t>
      </w:r>
      <w:r>
        <w:rPr>
          <w:rFonts w:hint="eastAsia" w:ascii="仿宋_GB2312" w:hAnsi="宋体" w:eastAsia="仿宋_GB2312"/>
          <w:sz w:val="30"/>
          <w:szCs w:val="30"/>
        </w:rPr>
        <w:t>语文、数学科目采用笔试方式，时间均为100分钟。</w:t>
      </w:r>
    </w:p>
    <w:p w14:paraId="1401F041">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英语科目分设笔试（含听力测试）和口语测试，笔试时间为90分钟；口语测试单独组织，采用人机对话方式分批次开考，每场</w:t>
      </w:r>
      <w:r>
        <w:rPr>
          <w:rFonts w:ascii="仿宋_GB2312" w:hAnsi="宋体" w:eastAsia="仿宋_GB2312"/>
          <w:sz w:val="30"/>
          <w:szCs w:val="30"/>
        </w:rPr>
        <w:t>考试</w:t>
      </w:r>
      <w:r>
        <w:rPr>
          <w:rFonts w:hint="eastAsia" w:ascii="仿宋_GB2312" w:hAnsi="宋体" w:eastAsia="仿宋_GB2312"/>
          <w:sz w:val="30"/>
          <w:szCs w:val="30"/>
        </w:rPr>
        <w:t>时间为10分钟。</w:t>
      </w:r>
    </w:p>
    <w:p w14:paraId="6F9D8059">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信息技术科目采用机考形式分批次开考，每场考试时间为60分钟。</w:t>
      </w:r>
    </w:p>
    <w:p w14:paraId="4FA191F1">
      <w:pPr>
        <w:spacing w:line="600" w:lineRule="exact"/>
        <w:ind w:firstLine="600" w:firstLineChars="200"/>
        <w:rPr>
          <w:rFonts w:ascii="楷体_GB2312" w:hAnsi="楷体_GB2312" w:eastAsia="楷体_GB2312" w:cs="楷体_GB2312"/>
          <w:color w:val="000000"/>
          <w:sz w:val="30"/>
          <w:szCs w:val="30"/>
        </w:rPr>
      </w:pPr>
      <w:r>
        <w:rPr>
          <w:rFonts w:hint="eastAsia" w:ascii="楷体_GB2312" w:hAnsi="楷体_GB2312" w:eastAsia="楷体_GB2312" w:cs="楷体_GB2312"/>
          <w:color w:val="000000"/>
          <w:sz w:val="30"/>
          <w:szCs w:val="30"/>
        </w:rPr>
        <w:t>（二）考试安排</w:t>
      </w:r>
    </w:p>
    <w:p w14:paraId="31256501">
      <w:pPr>
        <w:spacing w:line="600" w:lineRule="exact"/>
        <w:ind w:firstLine="600" w:firstLineChars="200"/>
        <w:rPr>
          <w:rFonts w:ascii="仿宋_GB2312" w:hAnsi="仿宋" w:eastAsia="仿宋_GB2312"/>
          <w:sz w:val="30"/>
          <w:szCs w:val="3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2471"/>
        <w:gridCol w:w="3624"/>
      </w:tblGrid>
      <w:tr w14:paraId="569A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6" w:type="dxa"/>
            <w:vAlign w:val="center"/>
          </w:tcPr>
          <w:p w14:paraId="49E471C6">
            <w:pPr>
              <w:spacing w:line="600" w:lineRule="exact"/>
              <w:jc w:val="center"/>
              <w:rPr>
                <w:rFonts w:ascii="黑体" w:hAnsi="黑体" w:eastAsia="黑体"/>
                <w:color w:val="000000"/>
                <w:sz w:val="30"/>
                <w:szCs w:val="30"/>
              </w:rPr>
            </w:pPr>
            <w:r>
              <w:rPr>
                <w:rFonts w:hint="eastAsia" w:ascii="黑体" w:hAnsi="黑体" w:eastAsia="黑体" w:cs="宋体"/>
                <w:color w:val="000000"/>
                <w:sz w:val="30"/>
                <w:szCs w:val="30"/>
              </w:rPr>
              <w:t>考试日期</w:t>
            </w:r>
          </w:p>
        </w:tc>
        <w:tc>
          <w:tcPr>
            <w:tcW w:w="2471" w:type="dxa"/>
            <w:vAlign w:val="center"/>
          </w:tcPr>
          <w:p w14:paraId="14123DB9">
            <w:pPr>
              <w:spacing w:line="600" w:lineRule="exact"/>
              <w:jc w:val="center"/>
              <w:rPr>
                <w:rFonts w:ascii="黑体" w:hAnsi="黑体" w:eastAsia="黑体"/>
                <w:color w:val="000000"/>
                <w:sz w:val="30"/>
                <w:szCs w:val="30"/>
              </w:rPr>
            </w:pPr>
            <w:r>
              <w:rPr>
                <w:rFonts w:hint="eastAsia" w:ascii="黑体" w:hAnsi="黑体" w:eastAsia="黑体" w:cs="宋体"/>
                <w:color w:val="000000"/>
                <w:sz w:val="30"/>
                <w:szCs w:val="30"/>
              </w:rPr>
              <w:t>考试时间</w:t>
            </w:r>
          </w:p>
        </w:tc>
        <w:tc>
          <w:tcPr>
            <w:tcW w:w="3624" w:type="dxa"/>
            <w:vAlign w:val="center"/>
          </w:tcPr>
          <w:p w14:paraId="3D74FCA5">
            <w:pPr>
              <w:spacing w:line="600" w:lineRule="exact"/>
              <w:jc w:val="center"/>
              <w:rPr>
                <w:rFonts w:ascii="黑体" w:hAnsi="黑体" w:eastAsia="黑体"/>
                <w:color w:val="000000"/>
                <w:sz w:val="30"/>
                <w:szCs w:val="30"/>
              </w:rPr>
            </w:pPr>
            <w:r>
              <w:rPr>
                <w:rFonts w:hint="eastAsia" w:ascii="黑体" w:hAnsi="黑体" w:eastAsia="黑体" w:cs="宋体"/>
                <w:color w:val="000000"/>
                <w:sz w:val="30"/>
                <w:szCs w:val="30"/>
              </w:rPr>
              <w:t>考试科目</w:t>
            </w:r>
          </w:p>
        </w:tc>
      </w:tr>
      <w:tr w14:paraId="616F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6" w:type="dxa"/>
            <w:vAlign w:val="center"/>
          </w:tcPr>
          <w:p w14:paraId="4A806A3F">
            <w:pPr>
              <w:spacing w:line="600" w:lineRule="exact"/>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12月7日</w:t>
            </w:r>
          </w:p>
          <w:p w14:paraId="6F6E83B0">
            <w:pPr>
              <w:spacing w:line="600" w:lineRule="exact"/>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（星期六）</w:t>
            </w:r>
          </w:p>
        </w:tc>
        <w:tc>
          <w:tcPr>
            <w:tcW w:w="2471" w:type="dxa"/>
            <w:vAlign w:val="center"/>
          </w:tcPr>
          <w:p w14:paraId="7307EA51">
            <w:pPr>
              <w:spacing w:line="600" w:lineRule="exact"/>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8:30起</w:t>
            </w:r>
          </w:p>
          <w:p w14:paraId="687EF735">
            <w:pPr>
              <w:spacing w:line="600" w:lineRule="exact"/>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（每场10分钟）</w:t>
            </w:r>
          </w:p>
        </w:tc>
        <w:tc>
          <w:tcPr>
            <w:tcW w:w="3624" w:type="dxa"/>
            <w:vAlign w:val="center"/>
          </w:tcPr>
          <w:p w14:paraId="5015765C">
            <w:pPr>
              <w:spacing w:line="600" w:lineRule="exact"/>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英语口试</w:t>
            </w:r>
          </w:p>
        </w:tc>
      </w:tr>
      <w:tr w14:paraId="2FAF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6" w:type="dxa"/>
            <w:vMerge w:val="restart"/>
            <w:vAlign w:val="center"/>
          </w:tcPr>
          <w:p w14:paraId="77FF9FA8">
            <w:pPr>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12月21日</w:t>
            </w:r>
          </w:p>
          <w:p w14:paraId="5E0BC3DD">
            <w:pPr>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（星期六）</w:t>
            </w:r>
          </w:p>
        </w:tc>
        <w:tc>
          <w:tcPr>
            <w:tcW w:w="2471" w:type="dxa"/>
            <w:vAlign w:val="center"/>
          </w:tcPr>
          <w:p w14:paraId="12B8AAE9">
            <w:pPr>
              <w:spacing w:line="600" w:lineRule="exact"/>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9:00—10:40</w:t>
            </w:r>
          </w:p>
        </w:tc>
        <w:tc>
          <w:tcPr>
            <w:tcW w:w="3624" w:type="dxa"/>
            <w:vAlign w:val="center"/>
          </w:tcPr>
          <w:p w14:paraId="513A609E">
            <w:pPr>
              <w:spacing w:line="600" w:lineRule="exact"/>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语文</w:t>
            </w:r>
          </w:p>
        </w:tc>
      </w:tr>
      <w:tr w14:paraId="0988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6" w:type="dxa"/>
            <w:vMerge w:val="continue"/>
            <w:tcBorders>
              <w:bottom w:val="single" w:color="auto" w:sz="4" w:space="0"/>
            </w:tcBorders>
            <w:vAlign w:val="center"/>
          </w:tcPr>
          <w:p w14:paraId="51038775">
            <w:pPr>
              <w:spacing w:line="600" w:lineRule="exact"/>
              <w:jc w:val="center"/>
              <w:rPr>
                <w:rFonts w:ascii="仿宋_GB2312" w:hAnsi="宋体" w:eastAsia="仿宋_GB2312" w:cs="宋体"/>
                <w:color w:val="000000"/>
                <w:sz w:val="30"/>
                <w:szCs w:val="30"/>
              </w:rPr>
            </w:pPr>
          </w:p>
        </w:tc>
        <w:tc>
          <w:tcPr>
            <w:tcW w:w="2471" w:type="dxa"/>
            <w:tcBorders>
              <w:bottom w:val="single" w:color="auto" w:sz="4" w:space="0"/>
            </w:tcBorders>
            <w:vAlign w:val="center"/>
          </w:tcPr>
          <w:p w14:paraId="7FF89E6C">
            <w:pPr>
              <w:spacing w:line="600" w:lineRule="exact"/>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13:30—15:10</w:t>
            </w:r>
          </w:p>
        </w:tc>
        <w:tc>
          <w:tcPr>
            <w:tcW w:w="3624" w:type="dxa"/>
            <w:tcBorders>
              <w:bottom w:val="single" w:color="auto" w:sz="4" w:space="0"/>
            </w:tcBorders>
            <w:vAlign w:val="center"/>
          </w:tcPr>
          <w:p w14:paraId="723BCDC4">
            <w:pPr>
              <w:spacing w:line="60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数学</w:t>
            </w:r>
          </w:p>
        </w:tc>
      </w:tr>
      <w:tr w14:paraId="346E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6" w:type="dxa"/>
            <w:vMerge w:val="restart"/>
            <w:tcBorders>
              <w:top w:val="single" w:color="auto" w:sz="4" w:space="0"/>
              <w:left w:val="single" w:color="auto" w:sz="4" w:space="0"/>
              <w:bottom w:val="single" w:color="auto" w:sz="4" w:space="0"/>
              <w:right w:val="single" w:color="auto" w:sz="4" w:space="0"/>
            </w:tcBorders>
            <w:vAlign w:val="center"/>
          </w:tcPr>
          <w:p w14:paraId="64254D51">
            <w:pPr>
              <w:spacing w:line="600" w:lineRule="exact"/>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12月22日</w:t>
            </w:r>
          </w:p>
          <w:p w14:paraId="0025C51E">
            <w:pPr>
              <w:spacing w:line="600" w:lineRule="exact"/>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（星期日）</w:t>
            </w:r>
          </w:p>
        </w:tc>
        <w:tc>
          <w:tcPr>
            <w:tcW w:w="2471" w:type="dxa"/>
            <w:tcBorders>
              <w:top w:val="single" w:color="auto" w:sz="4" w:space="0"/>
              <w:left w:val="single" w:color="auto" w:sz="4" w:space="0"/>
              <w:bottom w:val="single" w:color="auto" w:sz="4" w:space="0"/>
              <w:right w:val="single" w:color="auto" w:sz="4" w:space="0"/>
            </w:tcBorders>
            <w:vAlign w:val="center"/>
          </w:tcPr>
          <w:p w14:paraId="46E643EC">
            <w:pPr>
              <w:spacing w:line="600" w:lineRule="exact"/>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9:00—10:30</w:t>
            </w:r>
          </w:p>
        </w:tc>
        <w:tc>
          <w:tcPr>
            <w:tcW w:w="3624" w:type="dxa"/>
            <w:tcBorders>
              <w:top w:val="single" w:color="auto" w:sz="4" w:space="0"/>
              <w:left w:val="single" w:color="auto" w:sz="4" w:space="0"/>
              <w:bottom w:val="single" w:color="auto" w:sz="4" w:space="0"/>
              <w:right w:val="single" w:color="auto" w:sz="4" w:space="0"/>
            </w:tcBorders>
            <w:vAlign w:val="center"/>
          </w:tcPr>
          <w:p w14:paraId="017A8B2A">
            <w:pPr>
              <w:spacing w:line="600" w:lineRule="exact"/>
              <w:jc w:val="center"/>
              <w:rPr>
                <w:rFonts w:ascii="仿宋_GB2312" w:eastAsia="仿宋_GB2312"/>
                <w:sz w:val="30"/>
                <w:szCs w:val="30"/>
              </w:rPr>
            </w:pPr>
            <w:r>
              <w:rPr>
                <w:rFonts w:hint="eastAsia" w:ascii="仿宋_GB2312" w:eastAsia="仿宋_GB2312"/>
                <w:sz w:val="30"/>
                <w:szCs w:val="30"/>
              </w:rPr>
              <w:t>英语（含听力测试）</w:t>
            </w:r>
          </w:p>
        </w:tc>
      </w:tr>
      <w:tr w14:paraId="47E5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6" w:type="dxa"/>
            <w:vMerge w:val="continue"/>
            <w:tcBorders>
              <w:top w:val="single" w:color="auto" w:sz="4" w:space="0"/>
              <w:left w:val="single" w:color="auto" w:sz="4" w:space="0"/>
              <w:bottom w:val="single" w:color="auto" w:sz="4" w:space="0"/>
              <w:right w:val="single" w:color="auto" w:sz="4" w:space="0"/>
            </w:tcBorders>
            <w:vAlign w:val="center"/>
          </w:tcPr>
          <w:p w14:paraId="5E6D0218">
            <w:pPr>
              <w:spacing w:line="600" w:lineRule="exact"/>
              <w:jc w:val="center"/>
              <w:rPr>
                <w:rFonts w:ascii="仿宋_GB2312" w:hAnsi="宋体" w:eastAsia="仿宋_GB2312" w:cs="宋体"/>
                <w:color w:val="000000"/>
                <w:sz w:val="30"/>
                <w:szCs w:val="30"/>
              </w:rPr>
            </w:pPr>
          </w:p>
        </w:tc>
        <w:tc>
          <w:tcPr>
            <w:tcW w:w="2471" w:type="dxa"/>
            <w:tcBorders>
              <w:top w:val="single" w:color="auto" w:sz="4" w:space="0"/>
              <w:left w:val="single" w:color="auto" w:sz="4" w:space="0"/>
              <w:bottom w:val="single" w:color="auto" w:sz="4" w:space="0"/>
              <w:right w:val="single" w:color="auto" w:sz="4" w:space="0"/>
            </w:tcBorders>
            <w:vAlign w:val="center"/>
          </w:tcPr>
          <w:p w14:paraId="23B385E8">
            <w:pPr>
              <w:spacing w:line="600" w:lineRule="exact"/>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13:30起</w:t>
            </w:r>
          </w:p>
          <w:p w14:paraId="6490A903">
            <w:pPr>
              <w:spacing w:line="600" w:lineRule="exact"/>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（每场60分钟）</w:t>
            </w:r>
          </w:p>
        </w:tc>
        <w:tc>
          <w:tcPr>
            <w:tcW w:w="3624" w:type="dxa"/>
            <w:tcBorders>
              <w:top w:val="single" w:color="auto" w:sz="4" w:space="0"/>
              <w:left w:val="single" w:color="auto" w:sz="4" w:space="0"/>
              <w:bottom w:val="single" w:color="auto" w:sz="4" w:space="0"/>
              <w:right w:val="single" w:color="auto" w:sz="4" w:space="0"/>
            </w:tcBorders>
            <w:vAlign w:val="center"/>
          </w:tcPr>
          <w:p w14:paraId="25AF3C60">
            <w:pPr>
              <w:spacing w:line="600" w:lineRule="exact"/>
              <w:jc w:val="center"/>
              <w:rPr>
                <w:rFonts w:ascii="仿宋_GB2312" w:hAnsi="宋体" w:eastAsia="仿宋_GB2312"/>
                <w:color w:val="000000"/>
                <w:sz w:val="30"/>
                <w:szCs w:val="30"/>
              </w:rPr>
            </w:pPr>
            <w:r>
              <w:rPr>
                <w:rFonts w:hint="eastAsia" w:ascii="仿宋_GB2312" w:hAnsi="宋体" w:eastAsia="仿宋_GB2312" w:cs="宋体"/>
                <w:color w:val="000000"/>
                <w:sz w:val="30"/>
                <w:szCs w:val="30"/>
              </w:rPr>
              <w:t>信息技术</w:t>
            </w:r>
          </w:p>
        </w:tc>
      </w:tr>
    </w:tbl>
    <w:p w14:paraId="57E79D78">
      <w:pPr>
        <w:spacing w:line="600" w:lineRule="exact"/>
        <w:ind w:firstLine="600" w:firstLineChars="200"/>
        <w:textAlignment w:val="baseline"/>
        <w:rPr>
          <w:rFonts w:ascii="黑体" w:hAnsi="黑体" w:eastAsia="黑体" w:cs="仿宋_GB2312"/>
          <w:color w:val="000000"/>
          <w:sz w:val="30"/>
          <w:szCs w:val="30"/>
        </w:rPr>
      </w:pPr>
      <w:r>
        <w:rPr>
          <w:rFonts w:hint="eastAsia" w:ascii="黑体" w:hAnsi="黑体" w:eastAsia="黑体" w:cs="仿宋_GB2312"/>
          <w:color w:val="000000"/>
          <w:sz w:val="30"/>
          <w:szCs w:val="30"/>
        </w:rPr>
        <w:t>二</w:t>
      </w:r>
      <w:r>
        <w:rPr>
          <w:rFonts w:ascii="黑体" w:hAnsi="黑体" w:eastAsia="黑体" w:cs="仿宋_GB2312"/>
          <w:color w:val="000000"/>
          <w:sz w:val="30"/>
          <w:szCs w:val="30"/>
        </w:rPr>
        <w:t>、</w:t>
      </w:r>
      <w:r>
        <w:rPr>
          <w:rFonts w:hint="eastAsia" w:ascii="黑体" w:hAnsi="黑体" w:eastAsia="黑体" w:cs="仿宋_GB2312"/>
          <w:color w:val="000000"/>
          <w:sz w:val="30"/>
          <w:szCs w:val="30"/>
        </w:rPr>
        <w:t>成绩呈现与</w:t>
      </w:r>
      <w:r>
        <w:rPr>
          <w:rFonts w:ascii="黑体" w:hAnsi="黑体" w:eastAsia="黑体" w:cs="仿宋_GB2312"/>
          <w:color w:val="000000"/>
          <w:sz w:val="30"/>
          <w:szCs w:val="30"/>
        </w:rPr>
        <w:t>报告</w:t>
      </w:r>
    </w:p>
    <w:p w14:paraId="3AEB1256">
      <w:pPr>
        <w:spacing w:line="600" w:lineRule="exact"/>
        <w:ind w:firstLine="600" w:firstLineChars="200"/>
        <w:textAlignment w:val="baseline"/>
        <w:rPr>
          <w:rFonts w:ascii="楷体_GB2312" w:hAnsi="楷体_GB2312" w:eastAsia="楷体_GB2312" w:cs="楷体_GB2312"/>
          <w:sz w:val="30"/>
          <w:szCs w:val="30"/>
        </w:rPr>
      </w:pPr>
      <w:r>
        <w:rPr>
          <w:rFonts w:hint="eastAsia" w:ascii="楷体_GB2312" w:hAnsi="楷体_GB2312" w:eastAsia="楷体_GB2312" w:cs="楷体_GB2312"/>
          <w:color w:val="000000"/>
          <w:sz w:val="30"/>
          <w:szCs w:val="30"/>
        </w:rPr>
        <w:t>（一）分值与等第</w:t>
      </w:r>
    </w:p>
    <w:p w14:paraId="66A6B406">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各科目考试满分为100分。其中英语笔试满分为90分，口语测试满分为10分。</w:t>
      </w:r>
    </w:p>
    <w:p w14:paraId="102DF176">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语文、数学、英语科目成绩以等级呈现，根据学生相应科目的得分，按获得考试有效成绩的考生（即缺考或未得分的考生除外）总数的相应比例划分等级，位次由高到低分为A+、A、B+、B、B-、C+、C、C-、D+、D、E，共五等11级。其中A+约占5%；A、B+、B、B-、C+、C、C-、D+各约占10%；D、E共约占15%，E为卷面有效成绩低于标准分值或约占5%。</w:t>
      </w:r>
    </w:p>
    <w:p w14:paraId="54DE193A">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信息技术科目成绩分“合格”、“不合格”两档，60分及以上（含60分）为“合格”，60分以下为“不合格”。</w:t>
      </w:r>
    </w:p>
    <w:p w14:paraId="07223FAB">
      <w:pPr>
        <w:spacing w:line="600" w:lineRule="exact"/>
        <w:ind w:firstLine="600" w:firstLineChars="200"/>
        <w:rPr>
          <w:rFonts w:ascii="楷体" w:hAnsi="楷体" w:eastAsia="楷体" w:cs="宋体"/>
          <w:color w:val="000000"/>
          <w:sz w:val="30"/>
          <w:szCs w:val="30"/>
        </w:rPr>
      </w:pPr>
      <w:r>
        <w:rPr>
          <w:rFonts w:hint="eastAsia" w:ascii="仿宋_GB2312" w:hAnsi="宋体" w:eastAsia="仿宋_GB2312"/>
          <w:sz w:val="30"/>
          <w:szCs w:val="30"/>
        </w:rPr>
        <w:t>语文、数学、英语科目等级为“E”的学生，信息技术成绩为“不合格”的学生，由其所在学校自行组织补考。补考应在第五学期结束前完成。</w:t>
      </w:r>
    </w:p>
    <w:p w14:paraId="4CE4595E">
      <w:pPr>
        <w:spacing w:line="600" w:lineRule="exact"/>
        <w:ind w:firstLine="600" w:firstLineChars="200"/>
        <w:textAlignment w:val="baseline"/>
        <w:rPr>
          <w:rFonts w:ascii="楷体_GB2312" w:hAnsi="楷体_GB2312" w:eastAsia="楷体_GB2312" w:cs="楷体_GB2312"/>
          <w:color w:val="000000"/>
          <w:sz w:val="30"/>
          <w:szCs w:val="30"/>
        </w:rPr>
      </w:pPr>
      <w:r>
        <w:rPr>
          <w:rFonts w:hint="eastAsia" w:ascii="楷体_GB2312" w:hAnsi="楷体_GB2312" w:eastAsia="楷体_GB2312" w:cs="楷体_GB2312"/>
          <w:color w:val="000000"/>
          <w:sz w:val="30"/>
          <w:szCs w:val="30"/>
        </w:rPr>
        <w:t>（二）成绩处理</w:t>
      </w:r>
    </w:p>
    <w:p w14:paraId="0535D008">
      <w:pPr>
        <w:spacing w:line="600" w:lineRule="exact"/>
        <w:ind w:firstLine="600" w:firstLineChars="200"/>
        <w:rPr>
          <w:rFonts w:ascii="黑体" w:hAnsi="黑体" w:eastAsia="黑体"/>
          <w:sz w:val="30"/>
          <w:szCs w:val="30"/>
        </w:rPr>
      </w:pPr>
      <w:r>
        <w:rPr>
          <w:rFonts w:hint="eastAsia" w:ascii="仿宋_GB2312" w:hAnsi="宋体" w:eastAsia="仿宋_GB2312"/>
          <w:sz w:val="30"/>
          <w:szCs w:val="30"/>
        </w:rPr>
        <w:t>上海市教育考试院依照科学规范的程序对中职学业考成绩进行数据统计和处理，并统一</w:t>
      </w:r>
      <w:r>
        <w:rPr>
          <w:rFonts w:ascii="仿宋_GB2312" w:hAnsi="宋体" w:eastAsia="仿宋_GB2312"/>
          <w:sz w:val="30"/>
          <w:szCs w:val="30"/>
        </w:rPr>
        <w:t>制作</w:t>
      </w:r>
      <w:r>
        <w:rPr>
          <w:rFonts w:hint="eastAsia" w:ascii="仿宋_GB2312" w:hAnsi="宋体" w:eastAsia="仿宋_GB2312"/>
          <w:sz w:val="30"/>
          <w:szCs w:val="30"/>
        </w:rPr>
        <w:t>考生成绩单，发放到各区，由各区招生考试机构发放至学校及考生本人。</w:t>
      </w:r>
    </w:p>
    <w:p w14:paraId="6F40C9D1">
      <w:pPr>
        <w:spacing w:line="600" w:lineRule="exact"/>
        <w:ind w:firstLine="600" w:firstLineChars="200"/>
        <w:rPr>
          <w:rFonts w:ascii="黑体" w:hAnsi="黑体" w:eastAsia="黑体"/>
          <w:sz w:val="30"/>
          <w:szCs w:val="30"/>
        </w:rPr>
      </w:pPr>
      <w:r>
        <w:rPr>
          <w:rFonts w:hint="eastAsia" w:ascii="黑体" w:hAnsi="黑体" w:eastAsia="黑体"/>
          <w:sz w:val="30"/>
          <w:szCs w:val="30"/>
        </w:rPr>
        <w:t>三、报名</w:t>
      </w:r>
    </w:p>
    <w:p w14:paraId="74F23184">
      <w:pPr>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sz w:val="30"/>
          <w:szCs w:val="30"/>
        </w:rPr>
        <w:t>中职学业考</w:t>
      </w:r>
      <w:r>
        <w:rPr>
          <w:rFonts w:hint="eastAsia" w:ascii="仿宋_GB2312" w:hAnsi="宋体" w:eastAsia="仿宋_GB2312"/>
          <w:color w:val="000000"/>
          <w:sz w:val="30"/>
          <w:szCs w:val="30"/>
        </w:rPr>
        <w:t>报名工作由上海市教育考试院中招办具体负责。</w:t>
      </w:r>
    </w:p>
    <w:p w14:paraId="5997387B">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在籍学生由其学籍所在学校集体报名，学生基本信息由本市中等职业学校学生信息系统统一提供。每位学生完成报名后，取得中职学业水平考试报名号，报名号是学生在考试中唯一的身份识别号码。学生完成报名后须核对相关信息并由本人及其监护人签字确认，方能参加考试。</w:t>
      </w:r>
    </w:p>
    <w:p w14:paraId="0417DD09">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本市普通全日制中等职业</w:t>
      </w:r>
      <w:r>
        <w:rPr>
          <w:rFonts w:hint="eastAsia" w:ascii="仿宋_GB2312" w:hAnsi="仿宋" w:eastAsia="仿宋_GB2312"/>
          <w:sz w:val="30"/>
          <w:szCs w:val="30"/>
        </w:rPr>
        <w:t>学校在校学生中，2023学年入学的二年级学生</w:t>
      </w:r>
      <w:r>
        <w:rPr>
          <w:rFonts w:hint="eastAsia" w:ascii="仿宋_GB2312" w:hAnsi="宋体" w:eastAsia="仿宋_GB2312"/>
          <w:sz w:val="30"/>
          <w:szCs w:val="30"/>
        </w:rPr>
        <w:t>（不含中高职贯通、五年一贯制、中本贯通、外招和成人中专等学生）</w:t>
      </w:r>
      <w:r>
        <w:rPr>
          <w:rFonts w:hint="eastAsia" w:ascii="仿宋_GB2312" w:hAnsi="仿宋" w:eastAsia="仿宋_GB2312"/>
          <w:sz w:val="30"/>
          <w:szCs w:val="30"/>
        </w:rPr>
        <w:t>，以及2023学年入学的新疆、西藏、青海内职班学生</w:t>
      </w:r>
      <w:r>
        <w:rPr>
          <w:rFonts w:hint="eastAsia" w:ascii="仿宋_GB2312" w:hAnsi="宋体" w:eastAsia="仿宋_GB2312"/>
          <w:sz w:val="30"/>
          <w:szCs w:val="30"/>
        </w:rPr>
        <w:t>均须报名参加语文、数学、英语和信息技术</w:t>
      </w:r>
      <w:r>
        <w:rPr>
          <w:rFonts w:ascii="仿宋_GB2312" w:hAnsi="宋体" w:eastAsia="仿宋_GB2312"/>
          <w:sz w:val="30"/>
          <w:szCs w:val="30"/>
        </w:rPr>
        <w:t>4门科目考试</w:t>
      </w:r>
      <w:r>
        <w:rPr>
          <w:rFonts w:hint="eastAsia" w:ascii="仿宋_GB2312" w:hAnsi="宋体" w:eastAsia="仿宋_GB2312"/>
          <w:sz w:val="30"/>
          <w:szCs w:val="30"/>
        </w:rPr>
        <w:t>。学生在休学期间不得报名。</w:t>
      </w:r>
    </w:p>
    <w:p w14:paraId="35905F5C">
      <w:pPr>
        <w:spacing w:line="600" w:lineRule="exact"/>
        <w:ind w:firstLine="600" w:firstLineChars="200"/>
        <w:textAlignment w:val="baseline"/>
        <w:rPr>
          <w:rFonts w:ascii="仿宋_GB2312" w:hAnsi="宋体" w:eastAsia="仿宋_GB2312"/>
          <w:sz w:val="30"/>
          <w:szCs w:val="30"/>
        </w:rPr>
      </w:pPr>
      <w:r>
        <w:rPr>
          <w:rFonts w:hint="eastAsia" w:ascii="仿宋_GB2312" w:hAnsi="宋体" w:eastAsia="仿宋_GB2312"/>
          <w:sz w:val="30"/>
          <w:szCs w:val="30"/>
        </w:rPr>
        <w:t>上海音乐学院附属中等专科学校、上海市体育运动学校、上海体育大学附属竞技体育学校、上海戏剧学院附属戏曲学校、上海市马戏学校、上海市第二体育运动学校、上海戏剧学院附属舞蹈学校等艺体类学校的在籍学生，由学校组织自愿报考。</w:t>
      </w:r>
    </w:p>
    <w:p w14:paraId="6F06BD3A">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每位学生原则上仅有1次报考机会。因留级、办理正式休学手续后复学等原因转入的学生，均须同期报考中职学业考。</w:t>
      </w:r>
    </w:p>
    <w:p w14:paraId="421DBDB9">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根据教育部颁布的《职业教育专业目录（2021年）》，中等职业教育电子与信息大类专业学生可免考信息技术，其成绩记为“免考”。</w:t>
      </w:r>
    </w:p>
    <w:p w14:paraId="0C903217">
      <w:pPr>
        <w:spacing w:line="600" w:lineRule="exact"/>
        <w:ind w:firstLine="600" w:firstLineChars="200"/>
        <w:rPr>
          <w:rFonts w:ascii="黑体" w:hAnsi="黑体" w:eastAsia="黑体"/>
          <w:sz w:val="30"/>
          <w:szCs w:val="30"/>
        </w:rPr>
      </w:pPr>
      <w:r>
        <w:rPr>
          <w:rFonts w:hint="eastAsia" w:ascii="黑体" w:hAnsi="黑体" w:eastAsia="黑体"/>
          <w:sz w:val="30"/>
          <w:szCs w:val="30"/>
        </w:rPr>
        <w:t>四、考务管理</w:t>
      </w:r>
    </w:p>
    <w:p w14:paraId="44CC1C4C">
      <w:pPr>
        <w:spacing w:line="600" w:lineRule="exact"/>
        <w:ind w:firstLine="600" w:firstLineChars="200"/>
        <w:rPr>
          <w:rFonts w:ascii="楷体_GB2312" w:hAnsi="楷体_GB2312" w:eastAsia="楷体_GB2312" w:cs="楷体_GB2312"/>
          <w:sz w:val="30"/>
          <w:szCs w:val="30"/>
        </w:rPr>
      </w:pPr>
      <w:r>
        <w:rPr>
          <w:rFonts w:hint="eastAsia" w:ascii="楷体_GB2312" w:hAnsi="楷体_GB2312" w:eastAsia="楷体_GB2312" w:cs="楷体_GB2312"/>
          <w:sz w:val="30"/>
          <w:szCs w:val="30"/>
        </w:rPr>
        <w:t>（一）考试组织</w:t>
      </w:r>
    </w:p>
    <w:p w14:paraId="5831053D">
      <w:pPr>
        <w:spacing w:line="600" w:lineRule="exact"/>
        <w:ind w:firstLine="531" w:firstLineChars="177"/>
        <w:rPr>
          <w:rFonts w:ascii="仿宋_GB2312" w:hAnsi="宋体" w:eastAsia="仿宋_GB2312"/>
          <w:sz w:val="30"/>
          <w:szCs w:val="30"/>
        </w:rPr>
      </w:pPr>
      <w:r>
        <w:rPr>
          <w:rFonts w:hint="eastAsia" w:ascii="仿宋_GB2312" w:hAnsi="宋体" w:eastAsia="仿宋_GB2312"/>
          <w:sz w:val="30"/>
          <w:szCs w:val="30"/>
        </w:rPr>
        <w:t>中职学业考由市和区招生考试机构</w:t>
      </w:r>
      <w:r>
        <w:rPr>
          <w:rFonts w:ascii="仿宋_GB2312" w:hAnsi="宋体" w:eastAsia="仿宋_GB2312"/>
          <w:sz w:val="30"/>
          <w:szCs w:val="30"/>
        </w:rPr>
        <w:t>负责组织和实施工作</w:t>
      </w:r>
      <w:r>
        <w:rPr>
          <w:rFonts w:hint="eastAsia" w:ascii="仿宋_GB2312" w:hAnsi="宋体" w:eastAsia="仿宋_GB2312"/>
          <w:sz w:val="30"/>
          <w:szCs w:val="30"/>
        </w:rPr>
        <w:t>。监考教师由区招生考试机构按照“同一考场内的监考教师和考生不得全部来自同一所学校”的原则进行安排。</w:t>
      </w:r>
    </w:p>
    <w:p w14:paraId="41598B9F">
      <w:pPr>
        <w:spacing w:line="600" w:lineRule="exact"/>
        <w:ind w:firstLine="531" w:firstLineChars="177"/>
        <w:rPr>
          <w:rFonts w:ascii="仿宋_GB2312" w:hAnsi="宋体" w:eastAsia="仿宋_GB2312"/>
          <w:color w:val="000000"/>
          <w:sz w:val="30"/>
          <w:szCs w:val="30"/>
        </w:rPr>
      </w:pPr>
      <w:r>
        <w:rPr>
          <w:rFonts w:hint="eastAsia" w:ascii="仿宋_GB2312" w:hAnsi="宋体" w:eastAsia="仿宋_GB2312"/>
          <w:color w:val="000000"/>
          <w:sz w:val="30"/>
          <w:szCs w:val="30"/>
        </w:rPr>
        <w:t>考试按照全市规定的时间和考务要求统一进行。笔试科目和</w:t>
      </w:r>
      <w:r>
        <w:rPr>
          <w:rFonts w:hint="eastAsia" w:ascii="仿宋_GB2312" w:hAnsi="宋体" w:eastAsia="仿宋_GB2312"/>
          <w:sz w:val="30"/>
          <w:szCs w:val="30"/>
        </w:rPr>
        <w:t>口语测试</w:t>
      </w:r>
      <w:r>
        <w:rPr>
          <w:rFonts w:hint="eastAsia" w:ascii="仿宋_GB2312" w:hAnsi="宋体" w:eastAsia="仿宋_GB2312"/>
          <w:color w:val="000000"/>
          <w:sz w:val="30"/>
          <w:szCs w:val="30"/>
        </w:rPr>
        <w:t>需在标准化考点进行。信息技术科目考试由各区招生考试机构负责本辖区内考点设置、考场编排</w:t>
      </w:r>
      <w:r>
        <w:rPr>
          <w:rFonts w:hint="eastAsia" w:ascii="仿宋_GB2312" w:hAnsi="宋体" w:eastAsia="仿宋_GB2312"/>
          <w:sz w:val="30"/>
          <w:szCs w:val="30"/>
        </w:rPr>
        <w:t>。</w:t>
      </w:r>
    </w:p>
    <w:p w14:paraId="79E3EB8F">
      <w:pPr>
        <w:spacing w:line="600" w:lineRule="exact"/>
        <w:ind w:firstLine="531" w:firstLineChars="177"/>
        <w:rPr>
          <w:rFonts w:ascii="楷体_GB2312" w:hAnsi="楷体_GB2312" w:eastAsia="楷体_GB2312" w:cs="楷体_GB2312"/>
          <w:sz w:val="30"/>
          <w:szCs w:val="30"/>
        </w:rPr>
      </w:pPr>
      <w:r>
        <w:rPr>
          <w:rFonts w:hint="eastAsia" w:ascii="楷体_GB2312" w:hAnsi="楷体_GB2312" w:eastAsia="楷体_GB2312" w:cs="楷体_GB2312"/>
          <w:sz w:val="30"/>
          <w:szCs w:val="30"/>
        </w:rPr>
        <w:t>（二）试卷保管</w:t>
      </w:r>
    </w:p>
    <w:p w14:paraId="2AA601A8">
      <w:pPr>
        <w:spacing w:line="600" w:lineRule="exact"/>
        <w:ind w:firstLine="531" w:firstLineChars="177"/>
        <w:rPr>
          <w:rFonts w:ascii="仿宋_GB2312" w:hAnsi="宋体" w:eastAsia="仿宋_GB2312"/>
          <w:sz w:val="30"/>
          <w:szCs w:val="30"/>
        </w:rPr>
      </w:pPr>
      <w:r>
        <w:rPr>
          <w:rFonts w:hint="eastAsia" w:ascii="仿宋_GB2312" w:hAnsi="宋体" w:eastAsia="仿宋_GB2312"/>
          <w:sz w:val="30"/>
          <w:szCs w:val="30"/>
        </w:rPr>
        <w:t>试卷保管工作根据教育部、国家保密局相关规定执行。试卷的领取和保管由市、区有关部门及学校按规定做好保密管理工作。</w:t>
      </w:r>
    </w:p>
    <w:p w14:paraId="39A0EAB6">
      <w:pPr>
        <w:spacing w:line="600" w:lineRule="exact"/>
        <w:ind w:firstLine="531" w:firstLineChars="177"/>
        <w:rPr>
          <w:rFonts w:ascii="楷体_GB2312" w:hAnsi="楷体_GB2312" w:eastAsia="楷体_GB2312" w:cs="楷体_GB2312"/>
          <w:sz w:val="30"/>
          <w:szCs w:val="30"/>
        </w:rPr>
      </w:pPr>
      <w:r>
        <w:rPr>
          <w:rFonts w:hint="eastAsia" w:ascii="楷体_GB2312" w:hAnsi="楷体_GB2312" w:eastAsia="楷体_GB2312" w:cs="楷体_GB2312"/>
          <w:sz w:val="30"/>
          <w:szCs w:val="30"/>
        </w:rPr>
        <w:t>（三）评卷安排</w:t>
      </w:r>
    </w:p>
    <w:p w14:paraId="4CA95DA7">
      <w:pPr>
        <w:spacing w:line="600" w:lineRule="exact"/>
        <w:ind w:firstLine="531" w:firstLineChars="177"/>
        <w:rPr>
          <w:rFonts w:ascii="仿宋_GB2312" w:hAnsi="宋体" w:eastAsia="仿宋_GB2312"/>
          <w:sz w:val="30"/>
          <w:szCs w:val="30"/>
        </w:rPr>
      </w:pPr>
      <w:r>
        <w:rPr>
          <w:rFonts w:hint="eastAsia" w:ascii="仿宋_GB2312" w:hAnsi="宋体" w:eastAsia="仿宋_GB2312"/>
          <w:sz w:val="30"/>
          <w:szCs w:val="30"/>
        </w:rPr>
        <w:t>中职学业考实行全市统一网上评卷，评卷教师的选聘另行发文。评卷工作严格按照《国家教育考试网上评卷管理规范》要求，切实做到安全保密、规范管理、统一标准、严守纪律。</w:t>
      </w:r>
    </w:p>
    <w:p w14:paraId="17CD3173">
      <w:pPr>
        <w:spacing w:line="600" w:lineRule="exact"/>
        <w:ind w:firstLine="531" w:firstLineChars="177"/>
        <w:rPr>
          <w:rFonts w:ascii="楷体_GB2312" w:hAnsi="楷体_GB2312" w:eastAsia="楷体_GB2312" w:cs="楷体_GB2312"/>
          <w:sz w:val="30"/>
          <w:szCs w:val="30"/>
        </w:rPr>
      </w:pPr>
      <w:r>
        <w:rPr>
          <w:rFonts w:hint="eastAsia" w:ascii="楷体_GB2312" w:hAnsi="楷体_GB2312" w:eastAsia="楷体_GB2312" w:cs="楷体_GB2312"/>
          <w:sz w:val="30"/>
          <w:szCs w:val="30"/>
        </w:rPr>
        <w:t>（四）成绩复核</w:t>
      </w:r>
    </w:p>
    <w:p w14:paraId="316E2555">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考生若对本人的考试成绩有异议，可在成绩公布后的规定时段内，通过“上海招考热线”网站（http://www.shmeea.edu.cn）申请成绩复核。</w:t>
      </w:r>
      <w:r>
        <w:rPr>
          <w:rFonts w:hint="eastAsia" w:ascii="仿宋_GB2312" w:hAnsi="宋体" w:eastAsia="仿宋_GB2312"/>
          <w:color w:val="000000"/>
          <w:sz w:val="30"/>
          <w:szCs w:val="30"/>
        </w:rPr>
        <w:t>成绩复核主要核查答题纸姓名、报名号等是否与考生本人对应，试题有无漏评、漏阅，小题得分是否漏计，各小题得分合成后是否与提供给考生的成绩一致等。不重新评卷，不予查阅答卷。复核结果仅向考生提供所复核科目是否合格。</w:t>
      </w:r>
      <w:r>
        <w:rPr>
          <w:rFonts w:hint="eastAsia" w:ascii="仿宋_GB2312" w:hAnsi="宋体" w:eastAsia="仿宋_GB2312"/>
          <w:sz w:val="30"/>
          <w:szCs w:val="30"/>
        </w:rPr>
        <w:t>复核结果由市教育考试院通过“上海招考热线”网站（http://www.shmeea.edu.cn）反馈考生。</w:t>
      </w:r>
    </w:p>
    <w:p w14:paraId="4FDFCB2B">
      <w:pPr>
        <w:spacing w:line="600" w:lineRule="exact"/>
        <w:ind w:firstLine="600" w:firstLineChars="200"/>
        <w:rPr>
          <w:rFonts w:ascii="黑体" w:hAnsi="黑体" w:eastAsia="黑体"/>
          <w:sz w:val="30"/>
          <w:szCs w:val="30"/>
        </w:rPr>
      </w:pPr>
      <w:r>
        <w:rPr>
          <w:rFonts w:hint="eastAsia" w:ascii="黑体" w:hAnsi="黑体" w:eastAsia="黑体"/>
          <w:sz w:val="30"/>
          <w:szCs w:val="30"/>
        </w:rPr>
        <w:t>五、成绩有效期</w:t>
      </w:r>
    </w:p>
    <w:p w14:paraId="36F5D082">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学生在中职在读期间取得学业水平考试成绩在其毕业当年有效。</w:t>
      </w:r>
    </w:p>
    <w:p w14:paraId="52FE3679">
      <w:pPr>
        <w:spacing w:line="600" w:lineRule="exact"/>
        <w:ind w:firstLine="600" w:firstLineChars="200"/>
        <w:rPr>
          <w:rFonts w:ascii="黑体" w:hAnsi="黑体" w:eastAsia="黑体"/>
          <w:sz w:val="30"/>
          <w:szCs w:val="30"/>
        </w:rPr>
      </w:pPr>
      <w:r>
        <w:rPr>
          <w:rFonts w:hint="eastAsia" w:ascii="黑体" w:hAnsi="黑体" w:eastAsia="黑体"/>
          <w:sz w:val="30"/>
          <w:szCs w:val="30"/>
        </w:rPr>
        <w:t>六、考试费用</w:t>
      </w:r>
    </w:p>
    <w:p w14:paraId="1EB43A49">
      <w:pPr>
        <w:widowControl/>
        <w:spacing w:line="600" w:lineRule="exact"/>
        <w:ind w:firstLine="600" w:firstLineChars="200"/>
        <w:jc w:val="left"/>
        <w:rPr>
          <w:rFonts w:eastAsia="仿宋_GB2312"/>
          <w:sz w:val="30"/>
          <w:szCs w:val="30"/>
        </w:rPr>
      </w:pPr>
      <w:r>
        <w:rPr>
          <w:rFonts w:hint="eastAsia" w:ascii="仿宋_GB2312" w:hAnsi="宋体" w:eastAsia="仿宋_GB2312"/>
          <w:sz w:val="30"/>
          <w:szCs w:val="30"/>
        </w:rPr>
        <w:t>学生参加考试的费用在教育经费中统筹安排。</w:t>
      </w:r>
    </w:p>
    <w:p w14:paraId="1AA70236">
      <w:pPr>
        <w:adjustRightInd w:val="0"/>
        <w:snapToGrid w:val="0"/>
        <w:spacing w:line="560" w:lineRule="exact"/>
        <w:rPr>
          <w:rFonts w:ascii="仿宋_GB2312" w:eastAsia="仿宋_GB2312"/>
          <w:sz w:val="30"/>
          <w:szCs w:val="30"/>
        </w:rPr>
      </w:pPr>
    </w:p>
    <w:p w14:paraId="14AAED16">
      <w:pPr>
        <w:adjustRightInd w:val="0"/>
        <w:snapToGrid w:val="0"/>
        <w:spacing w:line="560" w:lineRule="exact"/>
        <w:jc w:val="left"/>
        <w:rPr>
          <w:rFonts w:hAnsi="华文仿宋" w:eastAsia="华文仿宋"/>
          <w:sz w:val="30"/>
          <w:szCs w:val="30"/>
        </w:rPr>
      </w:pPr>
    </w:p>
    <w:p w14:paraId="2DA72CCA">
      <w:pPr>
        <w:spacing w:line="560" w:lineRule="exact"/>
        <w:ind w:right="361"/>
        <w:rPr>
          <w:rFonts w:ascii="仿宋_GB2312" w:eastAsia="仿宋_GB2312"/>
          <w:sz w:val="30"/>
          <w:szCs w:val="30"/>
        </w:rPr>
      </w:pPr>
    </w:p>
    <w:p w14:paraId="5306987E">
      <w:pPr>
        <w:spacing w:line="560" w:lineRule="exact"/>
        <w:ind w:right="361"/>
        <w:rPr>
          <w:rFonts w:ascii="仿宋_GB2312" w:eastAsia="仿宋_GB2312"/>
          <w:sz w:val="30"/>
          <w:szCs w:val="30"/>
        </w:rPr>
      </w:pPr>
    </w:p>
    <w:p w14:paraId="3ADA090F">
      <w:pPr>
        <w:spacing w:line="560" w:lineRule="exact"/>
        <w:ind w:right="361"/>
        <w:rPr>
          <w:rFonts w:ascii="仿宋_GB2312" w:eastAsia="仿宋_GB2312"/>
          <w:sz w:val="30"/>
          <w:szCs w:val="30"/>
        </w:rPr>
      </w:pPr>
    </w:p>
    <w:p w14:paraId="37E4AE6F">
      <w:pPr>
        <w:spacing w:line="560" w:lineRule="exact"/>
        <w:ind w:right="361"/>
        <w:rPr>
          <w:rFonts w:ascii="仿宋_GB2312" w:eastAsia="仿宋_GB2312"/>
          <w:sz w:val="30"/>
          <w:szCs w:val="30"/>
        </w:rPr>
      </w:pPr>
    </w:p>
    <w:p w14:paraId="59D4BDE6">
      <w:pPr>
        <w:spacing w:line="560" w:lineRule="exact"/>
        <w:ind w:right="361"/>
        <w:rPr>
          <w:rFonts w:ascii="仿宋_GB2312" w:eastAsia="仿宋_GB2312"/>
          <w:sz w:val="30"/>
          <w:szCs w:val="30"/>
        </w:rPr>
      </w:pPr>
    </w:p>
    <w:p w14:paraId="3A9E2C93">
      <w:pPr>
        <w:spacing w:line="560" w:lineRule="exact"/>
        <w:ind w:right="361"/>
        <w:rPr>
          <w:rFonts w:ascii="仿宋_GB2312" w:eastAsia="仿宋_GB2312"/>
          <w:sz w:val="30"/>
          <w:szCs w:val="30"/>
        </w:rPr>
      </w:pPr>
    </w:p>
    <w:p w14:paraId="2F929B43">
      <w:pPr>
        <w:spacing w:line="560" w:lineRule="exact"/>
        <w:ind w:right="361"/>
        <w:rPr>
          <w:rFonts w:ascii="仿宋_GB2312" w:eastAsia="仿宋_GB2312"/>
          <w:sz w:val="30"/>
          <w:szCs w:val="30"/>
        </w:rPr>
        <w:sectPr>
          <w:footerReference r:id="rId3" w:type="default"/>
          <w:footerReference r:id="rId4" w:type="even"/>
          <w:pgSz w:w="11906" w:h="16838"/>
          <w:pgMar w:top="2098" w:right="1508" w:bottom="1714" w:left="1520" w:header="851" w:footer="1418" w:gutter="57"/>
          <w:cols w:space="720" w:num="1"/>
          <w:docGrid w:type="lines" w:linePitch="312" w:charSpace="0"/>
        </w:sectPr>
      </w:pPr>
    </w:p>
    <w:p w14:paraId="1B9709F5">
      <w:pPr>
        <w:spacing w:line="560" w:lineRule="exact"/>
        <w:ind w:right="361"/>
        <w:rPr>
          <w:rFonts w:ascii="仿宋_GB2312" w:eastAsia="仿宋_GB2312"/>
          <w:sz w:val="30"/>
          <w:szCs w:val="30"/>
        </w:rPr>
      </w:pPr>
    </w:p>
    <w:p w14:paraId="1342B989">
      <w:pPr>
        <w:spacing w:line="560" w:lineRule="exact"/>
        <w:ind w:right="361"/>
        <w:rPr>
          <w:rFonts w:ascii="仿宋_GB2312" w:eastAsia="仿宋_GB2312"/>
          <w:sz w:val="30"/>
          <w:szCs w:val="30"/>
        </w:rPr>
      </w:pPr>
    </w:p>
    <w:p w14:paraId="60DDCCBF">
      <w:pPr>
        <w:spacing w:line="560" w:lineRule="exact"/>
        <w:ind w:right="361"/>
        <w:rPr>
          <w:rFonts w:ascii="仿宋_GB2312" w:eastAsia="仿宋_GB2312"/>
          <w:sz w:val="30"/>
          <w:szCs w:val="30"/>
        </w:rPr>
      </w:pPr>
    </w:p>
    <w:p w14:paraId="6F82007F">
      <w:pPr>
        <w:spacing w:line="560" w:lineRule="exact"/>
        <w:ind w:right="361"/>
        <w:rPr>
          <w:rFonts w:ascii="仿宋_GB2312" w:eastAsia="仿宋_GB2312"/>
          <w:sz w:val="30"/>
          <w:szCs w:val="30"/>
        </w:rPr>
      </w:pPr>
    </w:p>
    <w:p w14:paraId="5CDE3433">
      <w:pPr>
        <w:spacing w:line="560" w:lineRule="exact"/>
        <w:ind w:right="361"/>
        <w:rPr>
          <w:rFonts w:ascii="仿宋_GB2312" w:eastAsia="仿宋_GB2312"/>
          <w:sz w:val="30"/>
          <w:szCs w:val="30"/>
        </w:rPr>
      </w:pPr>
    </w:p>
    <w:p w14:paraId="7F5A6E92">
      <w:pPr>
        <w:spacing w:line="560" w:lineRule="exact"/>
        <w:ind w:right="361"/>
        <w:rPr>
          <w:rFonts w:ascii="仿宋_GB2312" w:eastAsia="仿宋_GB2312"/>
          <w:sz w:val="30"/>
          <w:szCs w:val="30"/>
        </w:rPr>
      </w:pPr>
    </w:p>
    <w:p w14:paraId="440729E2">
      <w:pPr>
        <w:spacing w:line="560" w:lineRule="exact"/>
        <w:ind w:right="361"/>
        <w:rPr>
          <w:rFonts w:ascii="仿宋_GB2312" w:eastAsia="仿宋_GB2312"/>
          <w:sz w:val="30"/>
          <w:szCs w:val="30"/>
        </w:rPr>
      </w:pPr>
    </w:p>
    <w:p w14:paraId="711DD8FC">
      <w:pPr>
        <w:spacing w:line="560" w:lineRule="exact"/>
        <w:ind w:right="361"/>
        <w:rPr>
          <w:rFonts w:ascii="仿宋_GB2312" w:eastAsia="仿宋_GB2312"/>
          <w:sz w:val="30"/>
          <w:szCs w:val="30"/>
        </w:rPr>
      </w:pPr>
    </w:p>
    <w:p w14:paraId="42701F15">
      <w:pPr>
        <w:spacing w:line="560" w:lineRule="exact"/>
        <w:ind w:right="361"/>
        <w:rPr>
          <w:rFonts w:ascii="仿宋_GB2312" w:eastAsia="仿宋_GB2312"/>
          <w:sz w:val="30"/>
          <w:szCs w:val="30"/>
        </w:rPr>
      </w:pPr>
    </w:p>
    <w:p w14:paraId="732DE216">
      <w:pPr>
        <w:spacing w:line="560" w:lineRule="exact"/>
        <w:ind w:right="361"/>
        <w:rPr>
          <w:rFonts w:ascii="仿宋_GB2312" w:eastAsia="仿宋_GB2312"/>
          <w:sz w:val="30"/>
          <w:szCs w:val="30"/>
        </w:rPr>
      </w:pPr>
    </w:p>
    <w:p w14:paraId="226F3198">
      <w:pPr>
        <w:spacing w:line="560" w:lineRule="exact"/>
        <w:ind w:right="361"/>
        <w:rPr>
          <w:rFonts w:ascii="仿宋_GB2312" w:eastAsia="仿宋_GB2312"/>
          <w:sz w:val="30"/>
          <w:szCs w:val="30"/>
        </w:rPr>
      </w:pPr>
    </w:p>
    <w:p w14:paraId="279B2FA0">
      <w:pPr>
        <w:spacing w:line="560" w:lineRule="exact"/>
        <w:ind w:right="361"/>
        <w:rPr>
          <w:rFonts w:ascii="仿宋_GB2312" w:eastAsia="仿宋_GB2312"/>
          <w:sz w:val="30"/>
          <w:szCs w:val="30"/>
        </w:rPr>
      </w:pPr>
    </w:p>
    <w:p w14:paraId="3FB11E0F">
      <w:pPr>
        <w:spacing w:line="560" w:lineRule="exact"/>
        <w:ind w:right="361"/>
        <w:rPr>
          <w:rFonts w:ascii="仿宋_GB2312" w:eastAsia="仿宋_GB2312"/>
          <w:sz w:val="30"/>
          <w:szCs w:val="30"/>
        </w:rPr>
      </w:pPr>
    </w:p>
    <w:p w14:paraId="7E4CFAA1">
      <w:pPr>
        <w:spacing w:line="560" w:lineRule="exact"/>
        <w:ind w:right="361"/>
        <w:rPr>
          <w:rFonts w:ascii="仿宋_GB2312" w:eastAsia="仿宋_GB2312"/>
          <w:sz w:val="30"/>
          <w:szCs w:val="30"/>
        </w:rPr>
      </w:pPr>
    </w:p>
    <w:p w14:paraId="1BAA3F92">
      <w:pPr>
        <w:spacing w:line="560" w:lineRule="exact"/>
        <w:ind w:right="361"/>
        <w:rPr>
          <w:rFonts w:ascii="仿宋_GB2312" w:eastAsia="仿宋_GB2312"/>
          <w:sz w:val="30"/>
          <w:szCs w:val="30"/>
        </w:rPr>
      </w:pPr>
    </w:p>
    <w:p w14:paraId="213DC516">
      <w:pPr>
        <w:spacing w:line="560" w:lineRule="exact"/>
        <w:ind w:right="361"/>
        <w:rPr>
          <w:rFonts w:ascii="仿宋_GB2312" w:eastAsia="仿宋_GB2312"/>
          <w:sz w:val="30"/>
          <w:szCs w:val="30"/>
        </w:rPr>
      </w:pPr>
    </w:p>
    <w:p w14:paraId="673D2A02">
      <w:pPr>
        <w:spacing w:line="560" w:lineRule="exact"/>
        <w:ind w:right="361"/>
        <w:rPr>
          <w:rFonts w:ascii="仿宋_GB2312" w:eastAsia="仿宋_GB2312"/>
          <w:sz w:val="30"/>
          <w:szCs w:val="30"/>
        </w:rPr>
      </w:pPr>
    </w:p>
    <w:p w14:paraId="799ED645">
      <w:pPr>
        <w:spacing w:line="560" w:lineRule="exact"/>
        <w:ind w:right="361"/>
        <w:rPr>
          <w:rFonts w:ascii="仿宋_GB2312" w:eastAsia="仿宋_GB2312"/>
          <w:sz w:val="30"/>
          <w:szCs w:val="30"/>
        </w:rPr>
      </w:pPr>
    </w:p>
    <w:p w14:paraId="2CB3BE25">
      <w:pPr>
        <w:spacing w:line="560" w:lineRule="exact"/>
        <w:rPr>
          <w:rFonts w:ascii="仿宋_GB2312" w:hAnsi="仿宋_GB2312" w:eastAsia="仿宋_GB2312"/>
          <w:sz w:val="30"/>
          <w:szCs w:val="30"/>
        </w:rPr>
      </w:pPr>
    </w:p>
    <w:tbl>
      <w:tblPr>
        <w:tblStyle w:val="4"/>
        <w:tblpPr w:leftFromText="180" w:rightFromText="180" w:vertAnchor="text" w:horzAnchor="margin" w:tblpY="6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8"/>
        <w:gridCol w:w="4680"/>
        <w:gridCol w:w="289"/>
      </w:tblGrid>
      <w:tr w14:paraId="0C5A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7" w:type="dxa"/>
            <w:gridSpan w:val="3"/>
            <w:tcBorders>
              <w:top w:val="single" w:color="auto" w:sz="12" w:space="0"/>
              <w:left w:val="nil"/>
              <w:bottom w:val="single" w:color="auto" w:sz="4" w:space="0"/>
              <w:right w:val="nil"/>
            </w:tcBorders>
          </w:tcPr>
          <w:p w14:paraId="06DD4BEE">
            <w:pPr>
              <w:spacing w:line="560" w:lineRule="exact"/>
              <w:ind w:firstLine="280" w:firstLineChars="100"/>
              <w:rPr>
                <w:rFonts w:ascii="黑体" w:eastAsia="黑体"/>
                <w:sz w:val="28"/>
                <w:szCs w:val="28"/>
              </w:rPr>
            </w:pPr>
            <w:r>
              <w:rPr>
                <w:rFonts w:hint="eastAsia" w:ascii="仿宋_GB2312" w:eastAsia="仿宋_GB2312"/>
                <w:sz w:val="28"/>
                <w:szCs w:val="28"/>
              </w:rPr>
              <w:t>抄送：市教育考试院，各中等职业学校。</w:t>
            </w:r>
          </w:p>
        </w:tc>
      </w:tr>
      <w:tr w14:paraId="52DC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Borders>
              <w:left w:val="nil"/>
              <w:bottom w:val="single" w:color="auto" w:sz="12" w:space="0"/>
              <w:right w:val="nil"/>
            </w:tcBorders>
          </w:tcPr>
          <w:p w14:paraId="72F27037">
            <w:pPr>
              <w:spacing w:line="560" w:lineRule="exact"/>
              <w:ind w:firstLine="280" w:firstLineChars="100"/>
              <w:rPr>
                <w:rFonts w:ascii="黑体" w:eastAsia="黑体"/>
                <w:sz w:val="28"/>
                <w:szCs w:val="28"/>
              </w:rPr>
            </w:pPr>
            <w:r>
              <w:rPr>
                <w:rFonts w:hint="eastAsia" w:ascii="仿宋_GB2312" w:eastAsia="仿宋_GB2312"/>
                <w:sz w:val="28"/>
                <w:szCs w:val="28"/>
              </w:rPr>
              <w:t>上海市教育委员会办公室</w:t>
            </w:r>
          </w:p>
        </w:tc>
        <w:tc>
          <w:tcPr>
            <w:tcW w:w="4680" w:type="dxa"/>
            <w:tcBorders>
              <w:left w:val="nil"/>
              <w:bottom w:val="single" w:color="auto" w:sz="12" w:space="0"/>
              <w:right w:val="nil"/>
            </w:tcBorders>
          </w:tcPr>
          <w:p w14:paraId="008026A2">
            <w:pPr>
              <w:spacing w:line="560" w:lineRule="exact"/>
              <w:jc w:val="right"/>
              <w:rPr>
                <w:rFonts w:ascii="黑体" w:eastAsia="黑体"/>
                <w:sz w:val="28"/>
                <w:szCs w:val="28"/>
              </w:rPr>
            </w:pPr>
            <w:r>
              <w:rPr>
                <w:rFonts w:hint="eastAsia" w:ascii="仿宋_GB2312" w:eastAsia="仿宋_GB2312"/>
                <w:sz w:val="28"/>
                <w:szCs w:val="28"/>
              </w:rPr>
              <w:t>2024年10月15日印发</w:t>
            </w:r>
          </w:p>
        </w:tc>
        <w:tc>
          <w:tcPr>
            <w:tcW w:w="289" w:type="dxa"/>
            <w:tcBorders>
              <w:left w:val="nil"/>
              <w:bottom w:val="single" w:color="auto" w:sz="12" w:space="0"/>
              <w:right w:val="nil"/>
            </w:tcBorders>
          </w:tcPr>
          <w:p w14:paraId="0BFC1C02">
            <w:pPr>
              <w:spacing w:line="560" w:lineRule="exact"/>
              <w:ind w:right="359" w:rightChars="171"/>
              <w:jc w:val="right"/>
              <w:rPr>
                <w:rFonts w:ascii="黑体" w:eastAsia="黑体"/>
                <w:sz w:val="28"/>
                <w:szCs w:val="28"/>
              </w:rPr>
            </w:pPr>
          </w:p>
        </w:tc>
      </w:tr>
    </w:tbl>
    <w:p w14:paraId="49652C27">
      <w:pPr>
        <w:spacing w:line="540" w:lineRule="exact"/>
        <w:jc w:val="left"/>
        <w:rPr>
          <w:rFonts w:ascii="仿宋_GB2312" w:eastAsia="仿宋_GB2312"/>
          <w:sz w:val="30"/>
          <w:szCs w:val="30"/>
        </w:rPr>
      </w:pPr>
    </w:p>
    <w:sectPr>
      <w:footerReference r:id="rId5" w:type="default"/>
      <w:pgSz w:w="11906" w:h="16838"/>
      <w:pgMar w:top="2098" w:right="1508" w:bottom="1714" w:left="1520" w:header="851" w:footer="1418" w:gutter="5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微软雅黑"/>
    <w:panose1 w:val="00000000000000000000"/>
    <w:charset w:val="00"/>
    <w:family w:val="modern"/>
    <w:pitch w:val="default"/>
    <w:sig w:usb0="00000000" w:usb1="00000000" w:usb2="0000001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5948A">
    <w:pPr>
      <w:pStyle w:val="2"/>
      <w:framePr w:wrap="around" w:vAnchor="text" w:hAnchor="margin" w:xAlign="outside" w:y="1"/>
      <w:rPr>
        <w:rStyle w:val="6"/>
        <w:rFonts w:ascii="宋体" w:hAnsi="宋体"/>
        <w:sz w:val="28"/>
      </w:rPr>
    </w:pPr>
    <w:r>
      <w:rPr>
        <w:rStyle w:val="6"/>
        <w:rFonts w:hint="eastAsia" w:ascii="宋体" w:hAnsi="宋体"/>
        <w:sz w:val="28"/>
      </w:rPr>
      <w:t xml:space="preserve">—  </w:t>
    </w:r>
    <w:r>
      <w:rPr>
        <w:rStyle w:val="6"/>
        <w:rFonts w:ascii="宋体" w:hAnsi="宋体"/>
        <w:sz w:val="28"/>
      </w:rPr>
      <w:fldChar w:fldCharType="begin"/>
    </w:r>
    <w:r>
      <w:rPr>
        <w:rStyle w:val="6"/>
        <w:rFonts w:ascii="宋体" w:hAnsi="宋体"/>
        <w:sz w:val="28"/>
      </w:rPr>
      <w:instrText xml:space="preserve">PAGE  </w:instrText>
    </w:r>
    <w:r>
      <w:rPr>
        <w:rStyle w:val="6"/>
        <w:rFonts w:ascii="宋体" w:hAnsi="宋体"/>
        <w:sz w:val="28"/>
      </w:rPr>
      <w:fldChar w:fldCharType="separate"/>
    </w:r>
    <w:r>
      <w:rPr>
        <w:rStyle w:val="6"/>
        <w:rFonts w:ascii="宋体" w:hAnsi="宋体"/>
        <w:sz w:val="28"/>
      </w:rPr>
      <w:t>1</w:t>
    </w:r>
    <w:r>
      <w:rPr>
        <w:rStyle w:val="6"/>
        <w:rFonts w:ascii="宋体" w:hAnsi="宋体"/>
        <w:sz w:val="28"/>
      </w:rPr>
      <w:fldChar w:fldCharType="end"/>
    </w:r>
    <w:r>
      <w:rPr>
        <w:rStyle w:val="6"/>
        <w:rFonts w:hint="eastAsia" w:ascii="宋体" w:hAnsi="宋体"/>
        <w:sz w:val="28"/>
      </w:rPr>
      <w:t xml:space="preserve">  —</w:t>
    </w:r>
  </w:p>
  <w:p w14:paraId="220EBD97">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40D">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108A2072">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F726C">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attachedTemplate r:id="rId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C325FA"/>
    <w:rsid w:val="00024907"/>
    <w:rsid w:val="00035F05"/>
    <w:rsid w:val="00056EC1"/>
    <w:rsid w:val="00094FC4"/>
    <w:rsid w:val="000C226B"/>
    <w:rsid w:val="000D6BEE"/>
    <w:rsid w:val="000F348C"/>
    <w:rsid w:val="00112C10"/>
    <w:rsid w:val="00114314"/>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3402"/>
    <w:rsid w:val="002D4EF5"/>
    <w:rsid w:val="002D71E3"/>
    <w:rsid w:val="00303E9B"/>
    <w:rsid w:val="00312076"/>
    <w:rsid w:val="00326D86"/>
    <w:rsid w:val="003D3AB4"/>
    <w:rsid w:val="003D6DDA"/>
    <w:rsid w:val="003E4FAD"/>
    <w:rsid w:val="00414340"/>
    <w:rsid w:val="00444F67"/>
    <w:rsid w:val="004477E0"/>
    <w:rsid w:val="004806AD"/>
    <w:rsid w:val="00492148"/>
    <w:rsid w:val="004978BF"/>
    <w:rsid w:val="004A7871"/>
    <w:rsid w:val="004A7C58"/>
    <w:rsid w:val="004B14C9"/>
    <w:rsid w:val="004C141B"/>
    <w:rsid w:val="005155AB"/>
    <w:rsid w:val="005927B4"/>
    <w:rsid w:val="005D6055"/>
    <w:rsid w:val="005E0EB6"/>
    <w:rsid w:val="005F4E0C"/>
    <w:rsid w:val="006078B9"/>
    <w:rsid w:val="00611F21"/>
    <w:rsid w:val="00623312"/>
    <w:rsid w:val="00625F17"/>
    <w:rsid w:val="006634B4"/>
    <w:rsid w:val="00667B97"/>
    <w:rsid w:val="00680FA6"/>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31C60"/>
    <w:rsid w:val="00896677"/>
    <w:rsid w:val="008A74FF"/>
    <w:rsid w:val="008E3D77"/>
    <w:rsid w:val="008F76D4"/>
    <w:rsid w:val="0090062F"/>
    <w:rsid w:val="00906540"/>
    <w:rsid w:val="009356BA"/>
    <w:rsid w:val="00955071"/>
    <w:rsid w:val="009717CD"/>
    <w:rsid w:val="009855E9"/>
    <w:rsid w:val="0099273C"/>
    <w:rsid w:val="009A5209"/>
    <w:rsid w:val="009D5141"/>
    <w:rsid w:val="009D5E07"/>
    <w:rsid w:val="009E60DF"/>
    <w:rsid w:val="009F098D"/>
    <w:rsid w:val="00A0587E"/>
    <w:rsid w:val="00A25ED1"/>
    <w:rsid w:val="00A31E83"/>
    <w:rsid w:val="00A458A8"/>
    <w:rsid w:val="00A47378"/>
    <w:rsid w:val="00A82097"/>
    <w:rsid w:val="00A97E74"/>
    <w:rsid w:val="00AA2AD8"/>
    <w:rsid w:val="00AA6013"/>
    <w:rsid w:val="00B03BDD"/>
    <w:rsid w:val="00B33A26"/>
    <w:rsid w:val="00B36E68"/>
    <w:rsid w:val="00B409C3"/>
    <w:rsid w:val="00B5787D"/>
    <w:rsid w:val="00BC3863"/>
    <w:rsid w:val="00BD4122"/>
    <w:rsid w:val="00C006C8"/>
    <w:rsid w:val="00C22DAD"/>
    <w:rsid w:val="00C35E02"/>
    <w:rsid w:val="00C40CF3"/>
    <w:rsid w:val="00C452CA"/>
    <w:rsid w:val="00C56E44"/>
    <w:rsid w:val="00C70473"/>
    <w:rsid w:val="00CD2925"/>
    <w:rsid w:val="00CD3591"/>
    <w:rsid w:val="00CE0901"/>
    <w:rsid w:val="00D0710F"/>
    <w:rsid w:val="00D50530"/>
    <w:rsid w:val="00D51BBA"/>
    <w:rsid w:val="00D540F3"/>
    <w:rsid w:val="00D7185A"/>
    <w:rsid w:val="00DE3403"/>
    <w:rsid w:val="00E31B15"/>
    <w:rsid w:val="00E511C0"/>
    <w:rsid w:val="00EA3773"/>
    <w:rsid w:val="00ED3BF6"/>
    <w:rsid w:val="00EF69E5"/>
    <w:rsid w:val="00F90E73"/>
    <w:rsid w:val="00FB6E80"/>
    <w:rsid w:val="00FE259A"/>
    <w:rsid w:val="00FF63C3"/>
    <w:rsid w:val="389C01F5"/>
    <w:rsid w:val="AFE78E7D"/>
    <w:rsid w:val="EF5BC255"/>
    <w:rsid w:val="FFC32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styleId="7">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w3218\Desktop\2024&#24180;&#25991;&#20214;&#27169;&#26495;\&#20844;&#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公文</Template>
  <Pages>7</Pages>
  <Words>2104</Words>
  <Characters>2258</Characters>
  <Lines>17</Lines>
  <Paragraphs>4</Paragraphs>
  <TotalTime>282</TotalTime>
  <ScaleCrop>false</ScaleCrop>
  <LinksUpToDate>false</LinksUpToDate>
  <CharactersWithSpaces>2285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2024-10-15T14:31:00Z</dcterms:created>
  <dc:creator>李倩</dc:creator>
  <cp:lastModifiedBy>向往</cp:lastModifiedBy>
  <cp:lastPrinted>2024-10-15T14:35:00Z</cp:lastPrinted>
  <dcterms:modified xsi:type="dcterms:W3CDTF">2025-03-13T02:00:24Z</dcterms:modified>
  <dc:title>沪教委〔2001〕号                   签发人：</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BEE2A53C9A724EF9B542DB19C924E37D_13</vt:lpwstr>
  </property>
</Properties>
</file>