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E" w:rsidRDefault="004747F5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 w:val="0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>《上海市教育委员会</w:t>
      </w: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>上海市人力资源和社会保障局</w:t>
      </w: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>上海市住房和城乡建设管理委员会</w:t>
      </w: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 w:val="0"/>
          <w:color w:val="000000" w:themeColor="text1"/>
          <w:sz w:val="36"/>
          <w:szCs w:val="36"/>
        </w:rPr>
        <w:t>上海市消防救援总队关于做好自学考试助学机构、文化教育培训机构、职业技能培训机构消防安全管理工作的通知》解读</w:t>
      </w:r>
    </w:p>
    <w:p w:rsidR="00636943" w:rsidRDefault="00636943" w:rsidP="00636943">
      <w:pPr>
        <w:ind w:firstLine="640"/>
        <w:rPr>
          <w:rFonts w:ascii="黑体" w:eastAsia="黑体" w:hAnsi="黑体" w:cs="黑体" w:hint="eastAsia"/>
        </w:rPr>
      </w:pPr>
    </w:p>
    <w:p w:rsidR="00495C2E" w:rsidRDefault="004747F5" w:rsidP="00636943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一、制定背景</w:t>
      </w:r>
    </w:p>
    <w:p w:rsidR="00495C2E" w:rsidRDefault="004747F5" w:rsidP="00636943">
      <w:pPr>
        <w:ind w:firstLine="640"/>
      </w:pPr>
      <w:r>
        <w:rPr>
          <w:rFonts w:hint="eastAsia"/>
        </w:rPr>
        <w:t>近期，国家与本市有关消防安全的部门职责和相关管理举措进行了调整。同时，本市就加强培训机构管理、促进培训市场健康发展出台新文件。为贯彻落实上述法律法规和政策文件要求，</w:t>
      </w:r>
      <w:r>
        <w:rPr>
          <w:rFonts w:hint="eastAsia"/>
        </w:rPr>
        <w:t>市教育委员会会同市人力资源和社会保障局、市住房和城乡建设管理委员会、市消防救援总队</w:t>
      </w:r>
      <w:r>
        <w:rPr>
          <w:rFonts w:hint="eastAsia"/>
        </w:rPr>
        <w:t>制定</w:t>
      </w:r>
      <w:r>
        <w:rPr>
          <w:rFonts w:hint="eastAsia"/>
        </w:rPr>
        <w:t>了《关于做好自学考试助学机构、文化教育培训机构、职业技能培训机构消防安全管理工作的通知》（以下简称为《通知》）</w:t>
      </w:r>
      <w:r>
        <w:rPr>
          <w:rFonts w:hint="eastAsia"/>
        </w:rPr>
        <w:t>。</w:t>
      </w:r>
    </w:p>
    <w:p w:rsidR="00495C2E" w:rsidRDefault="004747F5" w:rsidP="00636943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二、总体考虑</w:t>
      </w:r>
    </w:p>
    <w:p w:rsidR="00495C2E" w:rsidRDefault="004747F5" w:rsidP="00636943">
      <w:pPr>
        <w:ind w:firstLine="640"/>
      </w:pPr>
      <w:r>
        <w:rPr>
          <w:rFonts w:hint="eastAsia"/>
        </w:rPr>
        <w:t>《</w:t>
      </w:r>
      <w:r>
        <w:rPr>
          <w:rFonts w:hint="eastAsia"/>
        </w:rPr>
        <w:t>通知</w:t>
      </w:r>
      <w:r>
        <w:rPr>
          <w:rFonts w:hint="eastAsia"/>
        </w:rPr>
        <w:t>》</w:t>
      </w:r>
      <w:r>
        <w:rPr>
          <w:rFonts w:hint="eastAsia"/>
        </w:rPr>
        <w:t>主要明确了</w:t>
      </w:r>
      <w:r>
        <w:rPr>
          <w:rFonts w:hint="eastAsia"/>
          <w:color w:val="000000" w:themeColor="text1"/>
        </w:rPr>
        <w:t>自学考试助学机构、文化教育培训机构、职业技能培训机构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以下统称为“培训机构”</w:t>
      </w:r>
      <w:r>
        <w:rPr>
          <w:rFonts w:hint="eastAsia"/>
          <w:color w:val="000000" w:themeColor="text1"/>
        </w:rPr>
        <w:t>）</w:t>
      </w:r>
      <w:r>
        <w:rPr>
          <w:rFonts w:hint="eastAsia"/>
        </w:rPr>
        <w:t>设立审批和日常</w:t>
      </w:r>
      <w:r>
        <w:rPr>
          <w:rFonts w:hint="eastAsia"/>
        </w:rPr>
        <w:t>培训活动</w:t>
      </w:r>
      <w:r>
        <w:rPr>
          <w:rFonts w:hint="eastAsia"/>
        </w:rPr>
        <w:t>中的消防事宜</w:t>
      </w:r>
      <w:r>
        <w:rPr>
          <w:rFonts w:hint="eastAsia"/>
        </w:rPr>
        <w:t>，明确各部门的职责和协作机制，</w:t>
      </w:r>
      <w:r>
        <w:rPr>
          <w:rFonts w:hint="eastAsia"/>
        </w:rPr>
        <w:t>强调培训机构</w:t>
      </w:r>
      <w:r>
        <w:rPr>
          <w:rFonts w:hint="eastAsia"/>
        </w:rPr>
        <w:t>主体责任，保障培训</w:t>
      </w:r>
      <w:proofErr w:type="gramStart"/>
      <w:r>
        <w:rPr>
          <w:rFonts w:hint="eastAsia"/>
        </w:rPr>
        <w:t>机构消防</w:t>
      </w:r>
      <w:proofErr w:type="gramEnd"/>
      <w:r>
        <w:rPr>
          <w:rFonts w:hint="eastAsia"/>
        </w:rPr>
        <w:t>安全</w:t>
      </w:r>
      <w:r>
        <w:rPr>
          <w:rFonts w:hint="eastAsia"/>
        </w:rPr>
        <w:t>。</w:t>
      </w:r>
    </w:p>
    <w:p w:rsidR="00495C2E" w:rsidRDefault="004747F5" w:rsidP="00636943">
      <w:pPr>
        <w:ind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三、主要内容</w:t>
      </w:r>
    </w:p>
    <w:p w:rsidR="00495C2E" w:rsidRDefault="004747F5" w:rsidP="00636943">
      <w:pPr>
        <w:ind w:firstLine="640"/>
      </w:pPr>
      <w:r>
        <w:rPr>
          <w:rFonts w:hint="eastAsia"/>
        </w:rPr>
        <w:t>《</w:t>
      </w:r>
      <w:r>
        <w:rPr>
          <w:rFonts w:hint="eastAsia"/>
        </w:rPr>
        <w:t>通知</w:t>
      </w:r>
      <w:r>
        <w:rPr>
          <w:rFonts w:hint="eastAsia"/>
        </w:rPr>
        <w:t>》</w:t>
      </w:r>
      <w:r>
        <w:rPr>
          <w:rFonts w:hint="eastAsia"/>
        </w:rPr>
        <w:t>主要包括</w:t>
      </w:r>
      <w:r>
        <w:rPr>
          <w:rFonts w:hint="eastAsia"/>
        </w:rPr>
        <w:t>确定设立审批流程</w:t>
      </w:r>
      <w:r>
        <w:rPr>
          <w:rFonts w:hint="eastAsia"/>
        </w:rPr>
        <w:t>、</w:t>
      </w:r>
      <w:proofErr w:type="gramStart"/>
      <w:r>
        <w:rPr>
          <w:rFonts w:hint="eastAsia"/>
        </w:rPr>
        <w:t>明确部门</w:t>
      </w:r>
      <w:proofErr w:type="gramEnd"/>
      <w:r>
        <w:rPr>
          <w:rFonts w:hint="eastAsia"/>
        </w:rPr>
        <w:t>职责分工</w:t>
      </w:r>
      <w:r>
        <w:rPr>
          <w:rFonts w:hint="eastAsia"/>
        </w:rPr>
        <w:t>、</w:t>
      </w:r>
      <w:r>
        <w:rPr>
          <w:rFonts w:hint="eastAsia"/>
        </w:rPr>
        <w:t>落实机构主体责任</w:t>
      </w:r>
      <w:r>
        <w:rPr>
          <w:rFonts w:hint="eastAsia"/>
        </w:rPr>
        <w:t>、鼓励各区创新举措</w:t>
      </w:r>
      <w:r>
        <w:rPr>
          <w:rFonts w:hint="eastAsia"/>
        </w:rPr>
        <w:t>等</w:t>
      </w:r>
      <w:r>
        <w:rPr>
          <w:rFonts w:hint="eastAsia"/>
        </w:rPr>
        <w:t>几</w:t>
      </w:r>
      <w:r>
        <w:rPr>
          <w:rFonts w:hint="eastAsia"/>
        </w:rPr>
        <w:t>个方面内容</w:t>
      </w:r>
      <w:r>
        <w:rPr>
          <w:rFonts w:hint="eastAsia"/>
        </w:rPr>
        <w:t>：</w:t>
      </w:r>
    </w:p>
    <w:p w:rsidR="00495C2E" w:rsidRDefault="004747F5">
      <w:pPr>
        <w:adjustRightInd w:val="0"/>
        <w:snapToGrid w:val="0"/>
        <w:spacing w:line="600" w:lineRule="exact"/>
        <w:ind w:firstLine="640"/>
      </w:pPr>
      <w:r>
        <w:rPr>
          <w:rFonts w:hint="eastAsia"/>
        </w:rPr>
        <w:t>一是确定设立审批流程。培训场所存在需要办理施工许</w:t>
      </w:r>
      <w:r>
        <w:rPr>
          <w:rFonts w:hint="eastAsia"/>
        </w:rPr>
        <w:lastRenderedPageBreak/>
        <w:t>可证项目的，在设立申请时</w:t>
      </w:r>
      <w:r>
        <w:rPr>
          <w:rFonts w:hint="eastAsia"/>
        </w:rPr>
        <w:t>需同时</w:t>
      </w:r>
      <w:r>
        <w:rPr>
          <w:rFonts w:hint="eastAsia"/>
        </w:rPr>
        <w:t>提交</w:t>
      </w:r>
      <w:r>
        <w:rPr>
          <w:rFonts w:hint="eastAsia"/>
        </w:rPr>
        <w:t>验收意见书</w:t>
      </w:r>
      <w:r>
        <w:rPr>
          <w:rFonts w:hint="eastAsia"/>
        </w:rPr>
        <w:t>或</w:t>
      </w:r>
      <w:r>
        <w:rPr>
          <w:rFonts w:hint="eastAsia"/>
        </w:rPr>
        <w:t>验收备案凭证</w:t>
      </w:r>
      <w:r>
        <w:rPr>
          <w:rFonts w:hint="eastAsia"/>
        </w:rPr>
        <w:t>；不存在需要办理施工许可证项目的，或者按照国家和本市有关规定不需要办理消防审验和备案的，应当对培训场所开展安全自查。</w:t>
      </w:r>
    </w:p>
    <w:p w:rsidR="00495C2E" w:rsidRDefault="004747F5">
      <w:pPr>
        <w:adjustRightInd w:val="0"/>
        <w:snapToGrid w:val="0"/>
        <w:spacing w:line="600" w:lineRule="exact"/>
        <w:ind w:firstLine="640"/>
      </w:pPr>
      <w:r>
        <w:rPr>
          <w:rFonts w:hint="eastAsia"/>
        </w:rPr>
        <w:t>二是</w:t>
      </w:r>
      <w:proofErr w:type="gramStart"/>
      <w:r>
        <w:rPr>
          <w:rFonts w:hint="eastAsia"/>
        </w:rPr>
        <w:t>明确部门</w:t>
      </w:r>
      <w:proofErr w:type="gramEnd"/>
      <w:r>
        <w:rPr>
          <w:rFonts w:hint="eastAsia"/>
        </w:rPr>
        <w:t>职责分工。教育、</w:t>
      </w:r>
      <w:r>
        <w:rPr>
          <w:rFonts w:hint="eastAsia"/>
        </w:rPr>
        <w:t>人力资源社会保障</w:t>
      </w:r>
      <w:r>
        <w:rPr>
          <w:rFonts w:hint="eastAsia"/>
        </w:rPr>
        <w:t>、住建、消防</w:t>
      </w:r>
      <w:r>
        <w:rPr>
          <w:rFonts w:hint="eastAsia"/>
        </w:rPr>
        <w:t>等</w:t>
      </w:r>
      <w:r>
        <w:rPr>
          <w:rFonts w:hint="eastAsia"/>
        </w:rPr>
        <w:t>部门分别依职权开展培训</w:t>
      </w:r>
      <w:proofErr w:type="gramStart"/>
      <w:r>
        <w:rPr>
          <w:rFonts w:hint="eastAsia"/>
        </w:rPr>
        <w:t>机构消防</w:t>
      </w:r>
      <w:proofErr w:type="gramEnd"/>
      <w:r>
        <w:rPr>
          <w:rFonts w:hint="eastAsia"/>
        </w:rPr>
        <w:t>安全工作监管</w:t>
      </w:r>
      <w:r>
        <w:rPr>
          <w:rFonts w:hint="eastAsia"/>
        </w:rPr>
        <w:t>。对违法违规情形，由各部门分别依职权进行处理。</w:t>
      </w:r>
    </w:p>
    <w:p w:rsidR="00495C2E" w:rsidRDefault="004747F5">
      <w:pPr>
        <w:adjustRightInd w:val="0"/>
        <w:snapToGrid w:val="0"/>
        <w:spacing w:line="600" w:lineRule="exact"/>
        <w:ind w:firstLine="640"/>
      </w:pPr>
      <w:r>
        <w:rPr>
          <w:rFonts w:hint="eastAsia"/>
        </w:rPr>
        <w:t>三是</w:t>
      </w:r>
      <w:r>
        <w:rPr>
          <w:rFonts w:hint="eastAsia"/>
        </w:rPr>
        <w:t>落实机构主体责任</w:t>
      </w:r>
      <w:r>
        <w:rPr>
          <w:rFonts w:hint="eastAsia"/>
        </w:rPr>
        <w:t>。</w:t>
      </w:r>
      <w:r>
        <w:rPr>
          <w:rFonts w:hint="eastAsia"/>
        </w:rPr>
        <w:t>要求培训机构按照要求开展消防工作，排查安全隐患，保障场所安全</w:t>
      </w:r>
      <w:r>
        <w:rPr>
          <w:rFonts w:hint="eastAsia"/>
        </w:rPr>
        <w:t>。不具有安全自查能力的培训机构或其举办者，可以委托具有符合</w:t>
      </w:r>
      <w:r>
        <w:rPr>
          <w:rFonts w:hint="eastAsia"/>
        </w:rPr>
        <w:t>国家规定条件的消防技术服务机构，参与消防安全自查工作。</w:t>
      </w:r>
    </w:p>
    <w:p w:rsidR="00495C2E" w:rsidRDefault="004747F5">
      <w:pPr>
        <w:adjustRightInd w:val="0"/>
        <w:snapToGrid w:val="0"/>
        <w:spacing w:line="600" w:lineRule="exact"/>
        <w:ind w:firstLine="640"/>
      </w:pPr>
      <w:r>
        <w:rPr>
          <w:rFonts w:hint="eastAsia"/>
        </w:rPr>
        <w:t>四是鼓励各区创新举措。鼓励各区结合地方实际，通过行政协助、联合检查、联合激励与联合惩戒等机制，充分发挥各部门的管理优势，对培训机构的消防安全进行全流程、全方位的管理。</w:t>
      </w:r>
      <w:bookmarkStart w:id="0" w:name="_GoBack"/>
      <w:bookmarkEnd w:id="0"/>
    </w:p>
    <w:sectPr w:rsidR="00495C2E" w:rsidSect="00495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F5" w:rsidRDefault="004747F5" w:rsidP="00636943">
      <w:pPr>
        <w:ind w:firstLine="640"/>
      </w:pPr>
      <w:r>
        <w:separator/>
      </w:r>
    </w:p>
  </w:endnote>
  <w:endnote w:type="continuationSeparator" w:id="0">
    <w:p w:rsidR="004747F5" w:rsidRDefault="004747F5" w:rsidP="0063694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43" w:rsidRDefault="00636943" w:rsidP="0063694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43" w:rsidRDefault="00636943" w:rsidP="0063694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43" w:rsidRDefault="00636943" w:rsidP="0063694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F5" w:rsidRDefault="004747F5" w:rsidP="00636943">
      <w:pPr>
        <w:ind w:firstLine="640"/>
      </w:pPr>
      <w:r>
        <w:separator/>
      </w:r>
    </w:p>
  </w:footnote>
  <w:footnote w:type="continuationSeparator" w:id="0">
    <w:p w:rsidR="004747F5" w:rsidRDefault="004747F5" w:rsidP="00636943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43" w:rsidRDefault="00636943" w:rsidP="0063694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43" w:rsidRDefault="00636943" w:rsidP="0063694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43" w:rsidRDefault="00636943" w:rsidP="0063694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25C0F6"/>
    <w:multiLevelType w:val="multilevel"/>
    <w:tmpl w:val="C925C0F6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87955"/>
    <w:rsid w:val="004747F5"/>
    <w:rsid w:val="00495C2E"/>
    <w:rsid w:val="00636943"/>
    <w:rsid w:val="0B034E7A"/>
    <w:rsid w:val="0B666826"/>
    <w:rsid w:val="10CB43DF"/>
    <w:rsid w:val="14D87955"/>
    <w:rsid w:val="1D1A3156"/>
    <w:rsid w:val="2B3D1682"/>
    <w:rsid w:val="49454388"/>
    <w:rsid w:val="58C666A8"/>
    <w:rsid w:val="6AFF4E0D"/>
    <w:rsid w:val="7F1E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2E"/>
    <w:pPr>
      <w:widowControl w:val="0"/>
      <w:ind w:firstLineChars="200" w:firstLine="641"/>
      <w:jc w:val="both"/>
    </w:pPr>
    <w:rPr>
      <w:rFonts w:ascii="仿宋_GB2312" w:eastAsia="仿宋_GB2312" w:hAnsi="仿宋_GB2312" w:cs="仿宋_GB2312"/>
      <w:bCs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495C2E"/>
    <w:pPr>
      <w:keepNext/>
      <w:keepLines/>
      <w:numPr>
        <w:numId w:val="1"/>
      </w:numPr>
      <w:spacing w:line="600" w:lineRule="exact"/>
      <w:ind w:firstLineChars="0"/>
      <w:outlineLvl w:val="0"/>
    </w:pPr>
    <w:rPr>
      <w:rFonts w:ascii="Times New Roman" w:eastAsia="黑体" w:hAnsi="Times New Roman" w:cs="Times New Roman"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rsid w:val="00495C2E"/>
    <w:pPr>
      <w:keepNext/>
      <w:keepLines/>
      <w:numPr>
        <w:ilvl w:val="1"/>
        <w:numId w:val="1"/>
      </w:numPr>
      <w:spacing w:line="600" w:lineRule="exact"/>
      <w:ind w:firstLineChars="0"/>
      <w:outlineLvl w:val="1"/>
    </w:pPr>
    <w:rPr>
      <w:rFonts w:ascii="Arial" w:eastAsia="楷体_GB2312" w:hAnsi="Arial" w:cs="Times New Roman"/>
    </w:rPr>
  </w:style>
  <w:style w:type="paragraph" w:styleId="3">
    <w:name w:val="heading 3"/>
    <w:basedOn w:val="a"/>
    <w:next w:val="a"/>
    <w:semiHidden/>
    <w:unhideWhenUsed/>
    <w:qFormat/>
    <w:rsid w:val="00495C2E"/>
    <w:pPr>
      <w:keepNext/>
      <w:keepLines/>
      <w:numPr>
        <w:ilvl w:val="2"/>
        <w:numId w:val="1"/>
      </w:numPr>
      <w:spacing w:line="413" w:lineRule="auto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495C2E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495C2E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495C2E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495C2E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495C2E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495C2E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495C2E"/>
    <w:rPr>
      <w:rFonts w:ascii="Times New Roman" w:eastAsia="黑体" w:hAnsi="Times New Roman" w:cs="Times New Roman"/>
      <w:kern w:val="44"/>
      <w:sz w:val="32"/>
    </w:rPr>
  </w:style>
  <w:style w:type="character" w:customStyle="1" w:styleId="2Char">
    <w:name w:val="标题 2 Char"/>
    <w:link w:val="2"/>
    <w:qFormat/>
    <w:rsid w:val="00495C2E"/>
    <w:rPr>
      <w:rFonts w:ascii="Arial" w:eastAsia="楷体_GB2312" w:hAnsi="Arial" w:cs="Times New Roman"/>
      <w:sz w:val="32"/>
    </w:rPr>
  </w:style>
  <w:style w:type="paragraph" w:styleId="a3">
    <w:name w:val="header"/>
    <w:basedOn w:val="a"/>
    <w:link w:val="Char"/>
    <w:rsid w:val="0063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943"/>
    <w:rPr>
      <w:rFonts w:ascii="仿宋_GB2312" w:eastAsia="仿宋_GB2312" w:hAnsi="仿宋_GB2312" w:cs="仿宋_GB2312"/>
      <w:bCs/>
      <w:kern w:val="2"/>
      <w:sz w:val="18"/>
      <w:szCs w:val="18"/>
    </w:rPr>
  </w:style>
  <w:style w:type="paragraph" w:styleId="a4">
    <w:name w:val="footer"/>
    <w:basedOn w:val="a"/>
    <w:link w:val="Char0"/>
    <w:rsid w:val="0063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943"/>
    <w:rPr>
      <w:rFonts w:ascii="仿宋_GB2312" w:eastAsia="仿宋_GB2312" w:hAnsi="仿宋_GB2312" w:cs="仿宋_GB2312"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Z70</dc:creator>
  <cp:lastModifiedBy>vip</cp:lastModifiedBy>
  <cp:revision>2</cp:revision>
  <dcterms:created xsi:type="dcterms:W3CDTF">2020-08-03T09:19:00Z</dcterms:created>
  <dcterms:modified xsi:type="dcterms:W3CDTF">2020-08-06T10:52:00Z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