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A6" w:rsidRDefault="001163A6">
      <w:pPr>
        <w:spacing w:line="380" w:lineRule="exact"/>
        <w:rPr>
          <w:rFonts w:ascii="黑体" w:eastAsia="黑体" w:hAnsi="宋体"/>
          <w:color w:val="000000"/>
          <w:kern w:val="0"/>
          <w:sz w:val="32"/>
          <w:szCs w:val="32"/>
        </w:rPr>
      </w:pPr>
    </w:p>
    <w:p w:rsidR="001163A6" w:rsidRDefault="001163A6">
      <w:pPr>
        <w:spacing w:line="380" w:lineRule="exact"/>
        <w:rPr>
          <w:rFonts w:ascii="黑体" w:eastAsia="黑体" w:hAnsi="宋体"/>
          <w:color w:val="000000"/>
          <w:kern w:val="0"/>
          <w:sz w:val="30"/>
          <w:szCs w:val="30"/>
        </w:rPr>
      </w:pPr>
      <w:bookmarkStart w:id="0" w:name="_GoBack"/>
      <w:bookmarkEnd w:id="0"/>
    </w:p>
    <w:p w:rsidR="001163A6" w:rsidRDefault="001163A6">
      <w:pPr>
        <w:spacing w:line="760" w:lineRule="exact"/>
        <w:rPr>
          <w:rFonts w:ascii="黑体" w:eastAsia="黑体" w:hAnsi="宋体"/>
          <w:color w:val="FF0000"/>
          <w:kern w:val="0"/>
          <w:sz w:val="30"/>
          <w:szCs w:val="30"/>
        </w:rPr>
      </w:pPr>
    </w:p>
    <w:p w:rsidR="001163A6" w:rsidRDefault="006B6DFD">
      <w:pPr>
        <w:jc w:val="center"/>
        <w:rPr>
          <w:rFonts w:ascii="方正小标宋简体" w:eastAsia="方正小标宋简体" w:hAnsi="宋体"/>
          <w:color w:val="FF0000"/>
          <w:spacing w:val="266"/>
          <w:w w:val="72"/>
          <w:kern w:val="0"/>
          <w:sz w:val="72"/>
          <w:szCs w:val="72"/>
        </w:rPr>
      </w:pPr>
      <w:r w:rsidRPr="00D570E8">
        <w:rPr>
          <w:rFonts w:ascii="方正小标宋简体" w:eastAsia="方正小标宋简体" w:hAnsi="宋体" w:hint="eastAsia"/>
          <w:color w:val="FF0000"/>
          <w:spacing w:val="62"/>
          <w:kern w:val="0"/>
          <w:sz w:val="72"/>
          <w:szCs w:val="72"/>
          <w:fitText w:val="8320" w:id="184295936"/>
        </w:rPr>
        <w:t>上海市教育委员会文</w:t>
      </w:r>
      <w:r w:rsidRPr="00D570E8">
        <w:rPr>
          <w:rFonts w:ascii="方正小标宋简体" w:eastAsia="方正小标宋简体" w:hAnsi="宋体" w:hint="eastAsia"/>
          <w:color w:val="FF0000"/>
          <w:spacing w:val="2"/>
          <w:kern w:val="0"/>
          <w:sz w:val="72"/>
          <w:szCs w:val="72"/>
          <w:fitText w:val="8320" w:id="184295936"/>
        </w:rPr>
        <w:t>件</w:t>
      </w:r>
    </w:p>
    <w:p w:rsidR="001163A6" w:rsidRDefault="001163A6">
      <w:pPr>
        <w:spacing w:line="580" w:lineRule="exact"/>
        <w:rPr>
          <w:rFonts w:ascii="黑体" w:eastAsia="黑体" w:hAnsi="华文中宋"/>
          <w:sz w:val="30"/>
          <w:szCs w:val="30"/>
        </w:rPr>
      </w:pPr>
    </w:p>
    <w:p w:rsidR="001163A6" w:rsidRDefault="001163A6">
      <w:pPr>
        <w:spacing w:line="580" w:lineRule="exact"/>
        <w:rPr>
          <w:rFonts w:ascii="文鼎大标宋简" w:eastAsia="文鼎大标宋简" w:hAnsi="华文中宋"/>
          <w:sz w:val="36"/>
          <w:szCs w:val="36"/>
        </w:rPr>
      </w:pPr>
    </w:p>
    <w:p w:rsidR="001163A6" w:rsidRDefault="006B6DFD">
      <w:pPr>
        <w:pBdr>
          <w:top w:val="none" w:sz="0" w:space="1" w:color="auto"/>
          <w:left w:val="none" w:sz="0" w:space="4" w:color="auto"/>
          <w:bottom w:val="single" w:sz="12" w:space="1" w:color="FF0000"/>
          <w:right w:val="none" w:sz="0" w:space="4" w:color="auto"/>
        </w:pBdr>
        <w:spacing w:line="560" w:lineRule="exact"/>
        <w:ind w:rightChars="15" w:right="31"/>
        <w:jc w:val="center"/>
        <w:rPr>
          <w:rFonts w:ascii="仿宋_GB2312" w:eastAsia="仿宋_GB2312"/>
          <w:sz w:val="32"/>
        </w:rPr>
      </w:pPr>
      <w:r>
        <w:rPr>
          <w:rFonts w:ascii="仿宋_GB2312" w:eastAsia="仿宋_GB2312" w:hint="eastAsia"/>
          <w:sz w:val="30"/>
          <w:szCs w:val="30"/>
        </w:rPr>
        <w:t>沪教委</w:t>
      </w:r>
      <w:r>
        <w:rPr>
          <w:rFonts w:ascii="仿宋_GB2312" w:eastAsia="仿宋_GB2312" w:hint="eastAsia"/>
          <w:sz w:val="30"/>
          <w:szCs w:val="30"/>
        </w:rPr>
        <w:t>法</w:t>
      </w:r>
      <w:r>
        <w:rPr>
          <w:rFonts w:ascii="仿宋_GB2312" w:eastAsia="仿宋_GB2312"/>
          <w:sz w:val="30"/>
          <w:szCs w:val="30"/>
        </w:rPr>
        <w:t>〔</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sz w:val="30"/>
          <w:szCs w:val="30"/>
        </w:rPr>
        <w:t>〕</w:t>
      </w:r>
      <w:r>
        <w:rPr>
          <w:rFonts w:ascii="仿宋_GB2312" w:eastAsia="仿宋_GB2312" w:hint="eastAsia"/>
          <w:sz w:val="30"/>
          <w:szCs w:val="30"/>
        </w:rPr>
        <w:t>37</w:t>
      </w:r>
      <w:r>
        <w:rPr>
          <w:rFonts w:ascii="仿宋_GB2312" w:eastAsia="仿宋_GB2312" w:hint="eastAsia"/>
          <w:sz w:val="30"/>
          <w:szCs w:val="30"/>
        </w:rPr>
        <w:t>号</w:t>
      </w:r>
      <w:r>
        <w:rPr>
          <w:rFonts w:ascii="仿宋_GB2312" w:eastAsia="仿宋_GB2312" w:hint="eastAsia"/>
          <w:sz w:val="30"/>
          <w:szCs w:val="30"/>
        </w:rPr>
        <w:t xml:space="preserve">                    </w:t>
      </w:r>
    </w:p>
    <w:p w:rsidR="001163A6" w:rsidRDefault="001163A6">
      <w:pPr>
        <w:spacing w:line="560" w:lineRule="exact"/>
        <w:jc w:val="center"/>
        <w:rPr>
          <w:rFonts w:ascii="仿宋_GB2312" w:eastAsia="仿宋_GB2312"/>
          <w:sz w:val="32"/>
        </w:rPr>
      </w:pPr>
    </w:p>
    <w:p w:rsidR="001163A6" w:rsidRDefault="001163A6">
      <w:pPr>
        <w:spacing w:line="560" w:lineRule="exact"/>
        <w:jc w:val="center"/>
        <w:rPr>
          <w:rFonts w:ascii="仿宋_GB2312" w:eastAsia="仿宋_GB2312"/>
          <w:sz w:val="32"/>
        </w:rPr>
      </w:pPr>
    </w:p>
    <w:p w:rsidR="001163A6" w:rsidRDefault="006B6DFD">
      <w:pPr>
        <w:spacing w:line="560" w:lineRule="exact"/>
        <w:jc w:val="center"/>
        <w:rPr>
          <w:rFonts w:ascii="方正小标宋简体" w:eastAsia="方正小标宋简体"/>
          <w:sz w:val="38"/>
          <w:szCs w:val="38"/>
        </w:rPr>
      </w:pPr>
      <w:bookmarkStart w:id="1" w:name="OLE_LINK1"/>
      <w:r>
        <w:rPr>
          <w:rFonts w:ascii="方正小标宋简体" w:eastAsia="方正小标宋简体" w:hint="eastAsia"/>
          <w:sz w:val="38"/>
          <w:szCs w:val="38"/>
        </w:rPr>
        <w:t>上海市教育委员会关于</w:t>
      </w:r>
      <w:r>
        <w:rPr>
          <w:rFonts w:ascii="方正小标宋简体" w:eastAsia="方正小标宋简体" w:hint="eastAsia"/>
          <w:sz w:val="38"/>
          <w:szCs w:val="38"/>
        </w:rPr>
        <w:t>公布</w:t>
      </w:r>
      <w:r>
        <w:rPr>
          <w:rFonts w:ascii="方正小标宋简体" w:eastAsia="方正小标宋简体" w:hint="eastAsia"/>
          <w:sz w:val="38"/>
          <w:szCs w:val="38"/>
        </w:rPr>
        <w:t>202</w:t>
      </w:r>
      <w:r>
        <w:rPr>
          <w:rFonts w:ascii="方正小标宋简体" w:eastAsia="方正小标宋简体" w:hint="eastAsia"/>
          <w:sz w:val="38"/>
          <w:szCs w:val="38"/>
        </w:rPr>
        <w:t>5</w:t>
      </w:r>
      <w:r>
        <w:rPr>
          <w:rFonts w:ascii="方正小标宋简体" w:eastAsia="方正小标宋简体" w:hint="eastAsia"/>
          <w:sz w:val="38"/>
          <w:szCs w:val="38"/>
        </w:rPr>
        <w:t>年度“上海市教育</w:t>
      </w:r>
    </w:p>
    <w:p w:rsidR="001163A6" w:rsidRDefault="006B6DFD">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法学人才培养计划”项目评审结果的通知</w:t>
      </w:r>
    </w:p>
    <w:bookmarkEnd w:id="1"/>
    <w:p w:rsidR="001163A6" w:rsidRDefault="001163A6">
      <w:pPr>
        <w:spacing w:line="560" w:lineRule="exact"/>
        <w:rPr>
          <w:rFonts w:ascii="仿宋_GB2312" w:eastAsia="仿宋_GB2312" w:hAnsi="宋体"/>
          <w:sz w:val="30"/>
          <w:szCs w:val="30"/>
        </w:rPr>
      </w:pPr>
    </w:p>
    <w:p w:rsidR="001163A6" w:rsidRDefault="006B6DFD">
      <w:pPr>
        <w:spacing w:line="560" w:lineRule="exact"/>
        <w:rPr>
          <w:rFonts w:ascii="仿宋_GB2312" w:eastAsia="仿宋_GB2312" w:hAnsi="宋体"/>
          <w:sz w:val="30"/>
          <w:szCs w:val="30"/>
        </w:rPr>
      </w:pPr>
      <w:bookmarkStart w:id="2" w:name="OLE_LINK2"/>
      <w:bookmarkStart w:id="3" w:name="OLE_LINK3"/>
      <w:r>
        <w:rPr>
          <w:rFonts w:ascii="仿宋_GB2312" w:eastAsia="仿宋_GB2312" w:hAnsi="宋体" w:hint="eastAsia"/>
          <w:sz w:val="30"/>
          <w:szCs w:val="30"/>
        </w:rPr>
        <w:t>各高等学校：</w:t>
      </w:r>
    </w:p>
    <w:p w:rsidR="001163A6" w:rsidRDefault="006B6DFD">
      <w:pPr>
        <w:spacing w:line="560" w:lineRule="exact"/>
        <w:ind w:firstLineChars="200" w:firstLine="584"/>
        <w:rPr>
          <w:rFonts w:ascii="仿宋_GB2312" w:eastAsia="仿宋_GB2312"/>
          <w:spacing w:val="-4"/>
          <w:sz w:val="30"/>
          <w:szCs w:val="30"/>
        </w:rPr>
      </w:pPr>
      <w:r>
        <w:rPr>
          <w:rFonts w:ascii="仿宋_GB2312" w:eastAsia="仿宋_GB2312" w:hint="eastAsia"/>
          <w:spacing w:val="-4"/>
          <w:sz w:val="30"/>
          <w:szCs w:val="30"/>
        </w:rPr>
        <w:t>为贯彻落实习近平法治思想，促进教育法学交叉学科快速发展，继续推进教育法治与现代学校制度建设，培养造就一批开展教育法学学术研究和开展教育法治与现代大学制度建设实务工作、服务保障上海教育综合改革和创新发展的骨干人才，</w:t>
      </w:r>
      <w:r>
        <w:rPr>
          <w:rFonts w:ascii="仿宋_GB2312" w:eastAsia="仿宋_GB2312" w:hAnsi="宋体" w:hint="eastAsia"/>
          <w:sz w:val="30"/>
          <w:szCs w:val="30"/>
        </w:rPr>
        <w:t>经个人申请、高校申报，市教委组织专家评审，研究决</w:t>
      </w:r>
      <w:r>
        <w:rPr>
          <w:rFonts w:ascii="仿宋_GB2312" w:eastAsia="仿宋_GB2312" w:hint="eastAsia"/>
          <w:spacing w:val="-4"/>
          <w:sz w:val="30"/>
          <w:szCs w:val="30"/>
        </w:rPr>
        <w:t>定</w:t>
      </w:r>
      <w:r>
        <w:rPr>
          <w:rFonts w:ascii="仿宋_GB2312" w:eastAsia="仿宋_GB2312" w:hint="eastAsia"/>
          <w:spacing w:val="-4"/>
          <w:sz w:val="30"/>
          <w:szCs w:val="30"/>
        </w:rPr>
        <w:t>复旦大学张沛康</w:t>
      </w:r>
      <w:r>
        <w:rPr>
          <w:rFonts w:ascii="仿宋_GB2312" w:eastAsia="仿宋_GB2312" w:hint="eastAsia"/>
          <w:spacing w:val="-4"/>
          <w:sz w:val="30"/>
          <w:szCs w:val="30"/>
        </w:rPr>
        <w:t>等</w:t>
      </w:r>
      <w:r>
        <w:rPr>
          <w:rFonts w:ascii="仿宋_GB2312" w:eastAsia="仿宋_GB2312" w:hint="eastAsia"/>
          <w:spacing w:val="-4"/>
          <w:sz w:val="30"/>
          <w:szCs w:val="30"/>
        </w:rPr>
        <w:t>1</w:t>
      </w:r>
      <w:r>
        <w:rPr>
          <w:rFonts w:ascii="仿宋_GB2312" w:eastAsia="仿宋_GB2312" w:hint="eastAsia"/>
          <w:spacing w:val="-4"/>
          <w:sz w:val="30"/>
          <w:szCs w:val="30"/>
        </w:rPr>
        <w:t>5</w:t>
      </w:r>
      <w:r>
        <w:rPr>
          <w:rFonts w:ascii="仿宋_GB2312" w:eastAsia="仿宋_GB2312" w:hint="eastAsia"/>
          <w:spacing w:val="-4"/>
          <w:sz w:val="30"/>
          <w:szCs w:val="30"/>
        </w:rPr>
        <w:t>位同志入选</w:t>
      </w:r>
      <w:r>
        <w:rPr>
          <w:rFonts w:ascii="仿宋_GB2312" w:eastAsia="仿宋_GB2312" w:hint="eastAsia"/>
          <w:spacing w:val="-4"/>
          <w:sz w:val="30"/>
          <w:szCs w:val="30"/>
        </w:rPr>
        <w:t>202</w:t>
      </w:r>
      <w:r>
        <w:rPr>
          <w:rFonts w:ascii="仿宋_GB2312" w:eastAsia="仿宋_GB2312" w:hint="eastAsia"/>
          <w:spacing w:val="-4"/>
          <w:sz w:val="30"/>
          <w:szCs w:val="30"/>
        </w:rPr>
        <w:t>5</w:t>
      </w:r>
      <w:r>
        <w:rPr>
          <w:rFonts w:ascii="仿宋_GB2312" w:eastAsia="仿宋_GB2312" w:hint="eastAsia"/>
          <w:spacing w:val="-4"/>
          <w:sz w:val="30"/>
          <w:szCs w:val="30"/>
        </w:rPr>
        <w:t>年度“上海市教育法学人才培养计划”（见附件</w:t>
      </w:r>
      <w:r>
        <w:rPr>
          <w:rFonts w:ascii="仿宋_GB2312" w:eastAsia="仿宋_GB2312" w:hint="eastAsia"/>
          <w:spacing w:val="-4"/>
          <w:sz w:val="30"/>
          <w:szCs w:val="30"/>
        </w:rPr>
        <w:t>1</w:t>
      </w:r>
      <w:r>
        <w:rPr>
          <w:rFonts w:ascii="仿宋_GB2312" w:eastAsia="仿宋_GB2312" w:hint="eastAsia"/>
          <w:spacing w:val="-4"/>
          <w:sz w:val="30"/>
          <w:szCs w:val="30"/>
        </w:rPr>
        <w:t>）。</w:t>
      </w:r>
    </w:p>
    <w:p w:rsidR="001163A6" w:rsidRDefault="006B6DFD">
      <w:pPr>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hint="eastAsia"/>
          <w:sz w:val="30"/>
          <w:szCs w:val="30"/>
        </w:rPr>
        <w:t>市教委将对</w:t>
      </w:r>
      <w:r>
        <w:rPr>
          <w:rFonts w:ascii="仿宋_GB2312" w:eastAsia="仿宋_GB2312" w:hAnsi="宋体" w:hint="eastAsia"/>
          <w:sz w:val="30"/>
          <w:szCs w:val="30"/>
        </w:rPr>
        <w:t>202</w:t>
      </w:r>
      <w:r>
        <w:rPr>
          <w:rFonts w:ascii="仿宋_GB2312" w:eastAsia="仿宋_GB2312" w:hAnsi="宋体" w:hint="eastAsia"/>
          <w:sz w:val="30"/>
          <w:szCs w:val="30"/>
        </w:rPr>
        <w:t>4</w:t>
      </w:r>
      <w:r>
        <w:rPr>
          <w:rFonts w:ascii="仿宋_GB2312" w:eastAsia="仿宋_GB2312" w:hAnsi="宋体" w:hint="eastAsia"/>
          <w:sz w:val="30"/>
          <w:szCs w:val="30"/>
        </w:rPr>
        <w:t>年度入</w:t>
      </w:r>
      <w:r>
        <w:rPr>
          <w:rFonts w:ascii="仿宋_GB2312" w:eastAsia="仿宋_GB2312" w:hint="eastAsia"/>
          <w:spacing w:val="-4"/>
          <w:sz w:val="30"/>
          <w:szCs w:val="30"/>
        </w:rPr>
        <w:t>选且继续申报“上海市教育法学人才培养计划”的</w:t>
      </w:r>
      <w:r>
        <w:rPr>
          <w:rFonts w:ascii="仿宋_GB2312" w:eastAsia="仿宋_GB2312" w:hAnsi="宋体" w:cs="宋体" w:hint="eastAsia"/>
          <w:color w:val="000000"/>
          <w:kern w:val="0"/>
          <w:sz w:val="30"/>
          <w:szCs w:val="30"/>
        </w:rPr>
        <w:t>人员（见附件</w:t>
      </w:r>
      <w:r>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）给予相应经费支持和工作指导。</w:t>
      </w:r>
    </w:p>
    <w:p w:rsidR="001163A6" w:rsidRDefault="006B6DFD">
      <w:pPr>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本项目原则上支持周期</w:t>
      </w:r>
      <w:r>
        <w:rPr>
          <w:rFonts w:ascii="仿宋_GB2312" w:eastAsia="仿宋_GB2312" w:hAnsi="宋体" w:cs="宋体" w:hint="eastAsia"/>
          <w:color w:val="000000"/>
          <w:kern w:val="0"/>
          <w:sz w:val="30"/>
          <w:szCs w:val="30"/>
        </w:rPr>
        <w:t>3</w:t>
      </w:r>
      <w:r>
        <w:rPr>
          <w:rFonts w:ascii="仿宋_GB2312" w:eastAsia="仿宋_GB2312" w:hAnsi="宋体" w:cs="宋体" w:hint="eastAsia"/>
          <w:color w:val="000000"/>
          <w:kern w:val="0"/>
          <w:sz w:val="30"/>
          <w:szCs w:val="30"/>
        </w:rPr>
        <w:t>年。年度项目结项“不合格”的，将</w:t>
      </w:r>
      <w:r>
        <w:rPr>
          <w:rFonts w:ascii="仿宋_GB2312" w:eastAsia="仿宋_GB2312" w:hAnsi="宋体" w:cs="宋体" w:hint="eastAsia"/>
          <w:color w:val="000000"/>
          <w:kern w:val="0"/>
          <w:sz w:val="30"/>
          <w:szCs w:val="30"/>
        </w:rPr>
        <w:lastRenderedPageBreak/>
        <w:t>不再支持下一年度项目研究。各有关高校要切实落实好相关配套措施，做好对入选人员的支持保障工作。</w:t>
      </w:r>
    </w:p>
    <w:p w:rsidR="001163A6" w:rsidRDefault="001163A6">
      <w:pPr>
        <w:spacing w:line="560" w:lineRule="exact"/>
        <w:ind w:firstLineChars="200" w:firstLine="600"/>
        <w:rPr>
          <w:rFonts w:ascii="仿宋_GB2312" w:eastAsia="仿宋_GB2312" w:hAnsi="宋体" w:cs="宋体"/>
          <w:color w:val="000000"/>
          <w:kern w:val="0"/>
          <w:sz w:val="30"/>
          <w:szCs w:val="30"/>
        </w:rPr>
      </w:pPr>
    </w:p>
    <w:p w:rsidR="001163A6" w:rsidRDefault="006B6DFD">
      <w:pPr>
        <w:spacing w:line="560" w:lineRule="exact"/>
        <w:ind w:firstLineChars="189" w:firstLine="567"/>
        <w:rPr>
          <w:rFonts w:ascii="仿宋_GB2312" w:eastAsia="仿宋_GB2312"/>
          <w:spacing w:val="-4"/>
          <w:sz w:val="30"/>
          <w:szCs w:val="30"/>
        </w:rPr>
      </w:pPr>
      <w:r>
        <w:rPr>
          <w:rFonts w:ascii="仿宋_GB2312" w:eastAsia="仿宋_GB2312" w:hAnsi="宋体" w:cs="宋体" w:hint="eastAsia"/>
          <w:color w:val="000000"/>
          <w:kern w:val="0"/>
          <w:sz w:val="30"/>
          <w:szCs w:val="30"/>
        </w:rPr>
        <w:t>附</w:t>
      </w:r>
      <w:r>
        <w:rPr>
          <w:rFonts w:ascii="仿宋_GB2312" w:eastAsia="仿宋_GB2312" w:hint="eastAsia"/>
          <w:spacing w:val="-4"/>
          <w:sz w:val="30"/>
          <w:szCs w:val="30"/>
        </w:rPr>
        <w:t>件：</w:t>
      </w:r>
      <w:r>
        <w:rPr>
          <w:rFonts w:ascii="仿宋_GB2312" w:eastAsia="仿宋_GB2312" w:hint="eastAsia"/>
          <w:spacing w:val="-4"/>
          <w:sz w:val="30"/>
          <w:szCs w:val="30"/>
        </w:rPr>
        <w:t>1.202</w:t>
      </w:r>
      <w:r>
        <w:rPr>
          <w:rFonts w:ascii="仿宋_GB2312" w:eastAsia="仿宋_GB2312" w:hint="eastAsia"/>
          <w:spacing w:val="-4"/>
          <w:sz w:val="30"/>
          <w:szCs w:val="30"/>
        </w:rPr>
        <w:t>5</w:t>
      </w:r>
      <w:r>
        <w:rPr>
          <w:rFonts w:ascii="仿宋_GB2312" w:eastAsia="仿宋_GB2312" w:hint="eastAsia"/>
          <w:spacing w:val="-4"/>
          <w:sz w:val="30"/>
          <w:szCs w:val="30"/>
        </w:rPr>
        <w:t>年度“上海市教育法学人才培养计划”入选人员任</w:t>
      </w:r>
    </w:p>
    <w:p w:rsidR="001163A6" w:rsidRDefault="006B6DFD" w:rsidP="00543E05">
      <w:pPr>
        <w:spacing w:line="560" w:lineRule="exact"/>
        <w:ind w:firstLineChars="189" w:firstLine="552"/>
        <w:rPr>
          <w:rFonts w:ascii="仿宋_GB2312" w:eastAsia="仿宋_GB2312"/>
          <w:spacing w:val="-4"/>
          <w:sz w:val="30"/>
          <w:szCs w:val="30"/>
        </w:rPr>
      </w:pPr>
      <w:r>
        <w:rPr>
          <w:rFonts w:ascii="仿宋_GB2312" w:eastAsia="仿宋_GB2312" w:hint="eastAsia"/>
          <w:spacing w:val="-4"/>
          <w:sz w:val="30"/>
          <w:szCs w:val="30"/>
        </w:rPr>
        <w:t xml:space="preserve">        </w:t>
      </w:r>
      <w:r>
        <w:rPr>
          <w:rFonts w:ascii="仿宋_GB2312" w:eastAsia="仿宋_GB2312" w:hint="eastAsia"/>
          <w:spacing w:val="-4"/>
          <w:sz w:val="30"/>
          <w:szCs w:val="30"/>
        </w:rPr>
        <w:t>务表</w:t>
      </w:r>
    </w:p>
    <w:p w:rsidR="001163A6" w:rsidRDefault="006B6DFD">
      <w:pPr>
        <w:spacing w:line="560" w:lineRule="exact"/>
        <w:ind w:leftChars="284" w:left="1793" w:hangingChars="410" w:hanging="1197"/>
        <w:rPr>
          <w:rFonts w:ascii="仿宋_GB2312" w:eastAsia="仿宋_GB2312"/>
          <w:spacing w:val="-4"/>
          <w:sz w:val="30"/>
          <w:szCs w:val="30"/>
        </w:rPr>
      </w:pPr>
      <w:r>
        <w:rPr>
          <w:rFonts w:ascii="仿宋_GB2312" w:eastAsia="仿宋_GB2312" w:hint="eastAsia"/>
          <w:spacing w:val="-4"/>
          <w:sz w:val="30"/>
          <w:szCs w:val="30"/>
        </w:rPr>
        <w:t xml:space="preserve">      2.202</w:t>
      </w:r>
      <w:r>
        <w:rPr>
          <w:rFonts w:ascii="仿宋_GB2312" w:eastAsia="仿宋_GB2312" w:hint="eastAsia"/>
          <w:spacing w:val="-4"/>
          <w:sz w:val="30"/>
          <w:szCs w:val="30"/>
        </w:rPr>
        <w:t>4</w:t>
      </w:r>
      <w:r>
        <w:rPr>
          <w:rFonts w:ascii="仿宋_GB2312" w:eastAsia="仿宋_GB2312" w:hint="eastAsia"/>
          <w:spacing w:val="-4"/>
          <w:sz w:val="30"/>
          <w:szCs w:val="30"/>
        </w:rPr>
        <w:t>年度“上海市教育法学人才培养计划”入选人</w:t>
      </w:r>
      <w:r>
        <w:rPr>
          <w:rFonts w:ascii="仿宋_GB2312" w:eastAsia="仿宋_GB2312" w:hint="eastAsia"/>
          <w:spacing w:val="-4"/>
          <w:sz w:val="30"/>
          <w:szCs w:val="30"/>
        </w:rPr>
        <w:t xml:space="preserve">        </w:t>
      </w:r>
      <w:r>
        <w:rPr>
          <w:rFonts w:ascii="仿宋_GB2312" w:eastAsia="仿宋_GB2312" w:hint="eastAsia"/>
          <w:spacing w:val="-4"/>
          <w:sz w:val="30"/>
          <w:szCs w:val="30"/>
        </w:rPr>
        <w:t>员任务表</w:t>
      </w:r>
    </w:p>
    <w:p w:rsidR="001163A6" w:rsidRDefault="001163A6" w:rsidP="00543E05">
      <w:pPr>
        <w:spacing w:line="560" w:lineRule="exact"/>
        <w:ind w:firstLineChars="189" w:firstLine="552"/>
        <w:rPr>
          <w:rFonts w:ascii="仿宋_GB2312" w:eastAsia="仿宋_GB2312"/>
          <w:spacing w:val="-4"/>
          <w:sz w:val="30"/>
          <w:szCs w:val="30"/>
        </w:rPr>
      </w:pPr>
    </w:p>
    <w:p w:rsidR="001163A6" w:rsidRDefault="001163A6" w:rsidP="00543E05">
      <w:pPr>
        <w:spacing w:line="560" w:lineRule="exact"/>
        <w:ind w:firstLineChars="189" w:firstLine="552"/>
        <w:rPr>
          <w:rFonts w:ascii="仿宋_GB2312" w:eastAsia="仿宋_GB2312"/>
          <w:spacing w:val="-4"/>
          <w:sz w:val="30"/>
          <w:szCs w:val="30"/>
        </w:rPr>
      </w:pPr>
    </w:p>
    <w:p w:rsidR="001163A6" w:rsidRDefault="006B6DFD">
      <w:pPr>
        <w:spacing w:line="560" w:lineRule="exact"/>
        <w:ind w:right="361" w:firstLineChars="189" w:firstLine="567"/>
        <w:jc w:val="right"/>
        <w:rPr>
          <w:rFonts w:ascii="仿宋_GB2312" w:eastAsia="仿宋_GB2312"/>
          <w:sz w:val="30"/>
          <w:szCs w:val="30"/>
        </w:rPr>
      </w:pPr>
      <w:r>
        <w:rPr>
          <w:rFonts w:ascii="仿宋_GB2312" w:eastAsia="仿宋_GB2312" w:hint="eastAsia"/>
          <w:sz w:val="30"/>
          <w:szCs w:val="30"/>
        </w:rPr>
        <w:t xml:space="preserve"> </w:t>
      </w:r>
    </w:p>
    <w:p w:rsidR="001163A6" w:rsidRDefault="006B6DFD">
      <w:pPr>
        <w:spacing w:line="560" w:lineRule="exact"/>
        <w:ind w:right="361" w:firstLineChars="1550" w:firstLine="4650"/>
        <w:rPr>
          <w:rFonts w:ascii="仿宋_GB2312" w:eastAsia="仿宋_GB2312"/>
          <w:sz w:val="30"/>
          <w:szCs w:val="30"/>
        </w:rPr>
      </w:pPr>
      <w:r>
        <w:rPr>
          <w:rFonts w:ascii="仿宋_GB2312" w:eastAsia="仿宋_GB2312" w:hint="eastAsia"/>
          <w:sz w:val="30"/>
          <w:szCs w:val="30"/>
        </w:rPr>
        <w:t>上</w:t>
      </w:r>
      <w:r>
        <w:rPr>
          <w:rFonts w:ascii="仿宋_GB2312" w:eastAsia="仿宋_GB2312" w:hint="eastAsia"/>
          <w:sz w:val="30"/>
          <w:szCs w:val="30"/>
        </w:rPr>
        <w:t xml:space="preserve"> </w:t>
      </w:r>
      <w:r>
        <w:rPr>
          <w:rFonts w:ascii="仿宋_GB2312" w:eastAsia="仿宋_GB2312" w:hint="eastAsia"/>
          <w:sz w:val="30"/>
          <w:szCs w:val="30"/>
        </w:rPr>
        <w:t>海</w:t>
      </w:r>
      <w:r>
        <w:rPr>
          <w:rFonts w:ascii="仿宋_GB2312" w:eastAsia="仿宋_GB2312" w:hint="eastAsia"/>
          <w:sz w:val="30"/>
          <w:szCs w:val="30"/>
        </w:rPr>
        <w:t xml:space="preserve"> </w:t>
      </w:r>
      <w:r>
        <w:rPr>
          <w:rFonts w:ascii="仿宋_GB2312" w:eastAsia="仿宋_GB2312" w:hint="eastAsia"/>
          <w:sz w:val="30"/>
          <w:szCs w:val="30"/>
        </w:rPr>
        <w:t>市</w:t>
      </w:r>
      <w:r>
        <w:rPr>
          <w:rFonts w:ascii="仿宋_GB2312" w:eastAsia="仿宋_GB2312" w:hint="eastAsia"/>
          <w:sz w:val="30"/>
          <w:szCs w:val="30"/>
        </w:rPr>
        <w:t xml:space="preserve"> </w:t>
      </w:r>
      <w:r>
        <w:rPr>
          <w:rFonts w:ascii="仿宋_GB2312" w:eastAsia="仿宋_GB2312" w:hint="eastAsia"/>
          <w:sz w:val="30"/>
          <w:szCs w:val="30"/>
        </w:rPr>
        <w:t>教</w:t>
      </w:r>
      <w:r>
        <w:rPr>
          <w:rFonts w:ascii="仿宋_GB2312" w:eastAsia="仿宋_GB2312" w:hint="eastAsia"/>
          <w:sz w:val="30"/>
          <w:szCs w:val="30"/>
        </w:rPr>
        <w:t xml:space="preserve"> </w:t>
      </w:r>
      <w:r>
        <w:rPr>
          <w:rFonts w:ascii="仿宋_GB2312" w:eastAsia="仿宋_GB2312" w:hint="eastAsia"/>
          <w:sz w:val="30"/>
          <w:szCs w:val="30"/>
        </w:rPr>
        <w:t>育</w:t>
      </w:r>
      <w:r>
        <w:rPr>
          <w:rFonts w:ascii="仿宋_GB2312" w:eastAsia="仿宋_GB2312" w:hint="eastAsia"/>
          <w:sz w:val="30"/>
          <w:szCs w:val="30"/>
        </w:rPr>
        <w:t xml:space="preserve"> </w:t>
      </w:r>
      <w:r>
        <w:rPr>
          <w:rFonts w:ascii="仿宋_GB2312" w:eastAsia="仿宋_GB2312" w:hint="eastAsia"/>
          <w:sz w:val="30"/>
          <w:szCs w:val="30"/>
        </w:rPr>
        <w:t>委</w:t>
      </w:r>
      <w:r>
        <w:rPr>
          <w:rFonts w:ascii="仿宋_GB2312" w:eastAsia="仿宋_GB2312" w:hint="eastAsia"/>
          <w:sz w:val="30"/>
          <w:szCs w:val="30"/>
        </w:rPr>
        <w:t xml:space="preserve"> </w:t>
      </w:r>
      <w:r>
        <w:rPr>
          <w:rFonts w:ascii="仿宋_GB2312" w:eastAsia="仿宋_GB2312" w:hint="eastAsia"/>
          <w:sz w:val="30"/>
          <w:szCs w:val="30"/>
        </w:rPr>
        <w:t>员</w:t>
      </w:r>
      <w:r>
        <w:rPr>
          <w:rFonts w:ascii="仿宋_GB2312" w:eastAsia="仿宋_GB2312" w:hint="eastAsia"/>
          <w:sz w:val="30"/>
          <w:szCs w:val="30"/>
        </w:rPr>
        <w:t xml:space="preserve"> </w:t>
      </w:r>
      <w:r>
        <w:rPr>
          <w:rFonts w:ascii="仿宋_GB2312" w:eastAsia="仿宋_GB2312" w:hint="eastAsia"/>
          <w:sz w:val="30"/>
          <w:szCs w:val="30"/>
        </w:rPr>
        <w:t>会</w:t>
      </w:r>
    </w:p>
    <w:p w:rsidR="001163A6" w:rsidRDefault="006B6DFD">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202</w:t>
      </w:r>
      <w:r>
        <w:rPr>
          <w:rFonts w:ascii="仿宋_GB2312" w:eastAsia="仿宋_GB2312" w:hint="eastAsia"/>
          <w:sz w:val="30"/>
          <w:szCs w:val="30"/>
        </w:rPr>
        <w:t>4</w:t>
      </w:r>
      <w:r>
        <w:rPr>
          <w:rFonts w:ascii="仿宋_GB2312" w:eastAsia="仿宋_GB2312" w:hint="eastAsia"/>
          <w:sz w:val="30"/>
          <w:szCs w:val="30"/>
        </w:rPr>
        <w:t>年</w:t>
      </w:r>
      <w:r>
        <w:rPr>
          <w:rFonts w:ascii="仿宋_GB2312" w:eastAsia="仿宋_GB2312" w:hint="eastAsia"/>
          <w:sz w:val="30"/>
          <w:szCs w:val="30"/>
        </w:rPr>
        <w:t>11</w:t>
      </w:r>
      <w:r>
        <w:rPr>
          <w:rFonts w:ascii="仿宋_GB2312" w:eastAsia="仿宋_GB2312" w:hint="eastAsia"/>
          <w:sz w:val="30"/>
          <w:szCs w:val="30"/>
        </w:rPr>
        <w:t>月</w:t>
      </w:r>
      <w:r>
        <w:rPr>
          <w:rFonts w:ascii="仿宋_GB2312" w:eastAsia="仿宋_GB2312" w:hint="eastAsia"/>
          <w:sz w:val="30"/>
          <w:szCs w:val="30"/>
        </w:rPr>
        <w:t>7</w:t>
      </w:r>
      <w:r>
        <w:rPr>
          <w:rFonts w:ascii="仿宋_GB2312" w:eastAsia="仿宋_GB2312" w:hint="eastAsia"/>
          <w:sz w:val="30"/>
          <w:szCs w:val="30"/>
        </w:rPr>
        <w:t>日</w:t>
      </w:r>
    </w:p>
    <w:bookmarkEnd w:id="2"/>
    <w:bookmarkEnd w:id="3"/>
    <w:p w:rsidR="001163A6" w:rsidRDefault="001163A6">
      <w:pPr>
        <w:adjustRightInd w:val="0"/>
        <w:snapToGrid w:val="0"/>
        <w:spacing w:line="560" w:lineRule="exact"/>
        <w:rPr>
          <w:rFonts w:ascii="仿宋_GB2312" w:eastAsia="仿宋_GB2312"/>
          <w:sz w:val="30"/>
          <w:szCs w:val="30"/>
        </w:rPr>
      </w:pPr>
    </w:p>
    <w:p w:rsidR="001163A6" w:rsidRDefault="006B6DFD">
      <w:pPr>
        <w:spacing w:line="520" w:lineRule="exact"/>
        <w:ind w:right="363"/>
        <w:rPr>
          <w:rFonts w:ascii="黑体" w:eastAsia="黑体"/>
          <w:spacing w:val="-4"/>
          <w:sz w:val="32"/>
          <w:szCs w:val="32"/>
        </w:rPr>
      </w:pPr>
      <w:r>
        <w:rPr>
          <w:rFonts w:ascii="仿宋_GB2312" w:eastAsia="仿宋_GB2312"/>
          <w:sz w:val="30"/>
          <w:szCs w:val="30"/>
        </w:rPr>
        <w:br w:type="page"/>
      </w:r>
      <w:r>
        <w:rPr>
          <w:rFonts w:ascii="黑体" w:eastAsia="黑体" w:hAnsi="黑体" w:hint="eastAsia"/>
          <w:spacing w:val="-4"/>
          <w:sz w:val="32"/>
          <w:szCs w:val="32"/>
        </w:rPr>
        <w:t>附件</w:t>
      </w:r>
      <w:r>
        <w:rPr>
          <w:rFonts w:ascii="黑体" w:eastAsia="黑体" w:hAnsi="黑体" w:hint="eastAsia"/>
          <w:spacing w:val="-4"/>
          <w:sz w:val="32"/>
          <w:szCs w:val="32"/>
        </w:rPr>
        <w:t>1</w:t>
      </w:r>
    </w:p>
    <w:p w:rsidR="001163A6" w:rsidRDefault="001163A6">
      <w:pPr>
        <w:spacing w:line="520" w:lineRule="exact"/>
        <w:ind w:right="363"/>
        <w:rPr>
          <w:rFonts w:ascii="黑体" w:eastAsia="黑体"/>
          <w:spacing w:val="-4"/>
          <w:sz w:val="30"/>
          <w:szCs w:val="30"/>
        </w:rPr>
      </w:pPr>
    </w:p>
    <w:p w:rsidR="001163A6" w:rsidRDefault="006B6DFD">
      <w:pPr>
        <w:spacing w:line="520" w:lineRule="exact"/>
        <w:ind w:right="363"/>
        <w:jc w:val="center"/>
        <w:rPr>
          <w:rFonts w:ascii="方正小标宋简体" w:eastAsia="方正小标宋简体"/>
          <w:spacing w:val="-4"/>
          <w:sz w:val="38"/>
          <w:szCs w:val="38"/>
        </w:rPr>
      </w:pPr>
      <w:r>
        <w:rPr>
          <w:rFonts w:ascii="方正小标宋简体" w:eastAsia="方正小标宋简体" w:hint="eastAsia"/>
          <w:spacing w:val="-4"/>
          <w:sz w:val="38"/>
          <w:szCs w:val="38"/>
        </w:rPr>
        <w:t>202</w:t>
      </w:r>
      <w:r>
        <w:rPr>
          <w:rFonts w:ascii="方正小标宋简体" w:eastAsia="方正小标宋简体" w:hint="eastAsia"/>
          <w:spacing w:val="-4"/>
          <w:sz w:val="38"/>
          <w:szCs w:val="38"/>
        </w:rPr>
        <w:t>5</w:t>
      </w:r>
      <w:r>
        <w:rPr>
          <w:rFonts w:ascii="方正小标宋简体" w:eastAsia="方正小标宋简体" w:hint="eastAsia"/>
          <w:spacing w:val="-4"/>
          <w:sz w:val="38"/>
          <w:szCs w:val="38"/>
        </w:rPr>
        <w:t>年度“上海市教育法学人才培养计划”</w:t>
      </w:r>
    </w:p>
    <w:p w:rsidR="001163A6" w:rsidRDefault="006B6DFD">
      <w:pPr>
        <w:spacing w:line="520" w:lineRule="exact"/>
        <w:ind w:right="363"/>
        <w:jc w:val="center"/>
        <w:rPr>
          <w:rFonts w:ascii="方正小标宋简体" w:eastAsia="方正小标宋简体" w:hAnsi="黑体" w:cs="宋体"/>
          <w:color w:val="000000"/>
          <w:kern w:val="0"/>
          <w:sz w:val="38"/>
          <w:szCs w:val="38"/>
        </w:rPr>
      </w:pPr>
      <w:r>
        <w:rPr>
          <w:rFonts w:ascii="方正小标宋简体" w:eastAsia="方正小标宋简体" w:hint="eastAsia"/>
          <w:spacing w:val="-4"/>
          <w:sz w:val="38"/>
          <w:szCs w:val="38"/>
        </w:rPr>
        <w:t>入选人员</w:t>
      </w:r>
      <w:r>
        <w:rPr>
          <w:rFonts w:ascii="方正小标宋简体" w:eastAsia="方正小标宋简体" w:hAnsi="黑体" w:cs="宋体" w:hint="eastAsia"/>
          <w:color w:val="000000"/>
          <w:kern w:val="0"/>
          <w:sz w:val="38"/>
          <w:szCs w:val="38"/>
        </w:rPr>
        <w:t>任务表</w:t>
      </w:r>
    </w:p>
    <w:p w:rsidR="001163A6" w:rsidRDefault="001163A6">
      <w:pPr>
        <w:spacing w:line="460" w:lineRule="exact"/>
        <w:ind w:right="363"/>
        <w:jc w:val="center"/>
        <w:rPr>
          <w:rFonts w:ascii="方正小标宋简体" w:eastAsia="方正小标宋简体"/>
          <w:spacing w:val="-4"/>
          <w:sz w:val="36"/>
          <w:szCs w:val="36"/>
        </w:rPr>
      </w:pP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9"/>
        <w:gridCol w:w="1110"/>
        <w:gridCol w:w="1815"/>
        <w:gridCol w:w="1815"/>
        <w:gridCol w:w="3943"/>
      </w:tblGrid>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pPr>
              <w:ind w:right="-31"/>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序号</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ind w:right="-31"/>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姓名</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ind w:right="-31"/>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单位</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ind w:right="-31"/>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人才编号</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ind w:right="-31" w:firstLineChars="400" w:firstLine="843"/>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202</w:t>
            </w:r>
            <w:r>
              <w:rPr>
                <w:rFonts w:ascii="仿宋_GB2312" w:eastAsia="仿宋_GB2312" w:hAnsi="仿宋_GB2312" w:cs="仿宋_GB2312" w:hint="eastAsia"/>
                <w:b/>
                <w:bCs/>
                <w:kern w:val="0"/>
                <w:szCs w:val="21"/>
              </w:rPr>
              <w:t>5</w:t>
            </w:r>
            <w:r>
              <w:rPr>
                <w:rFonts w:ascii="仿宋_GB2312" w:eastAsia="仿宋_GB2312" w:hAnsi="仿宋_GB2312" w:cs="仿宋_GB2312" w:hint="eastAsia"/>
                <w:b/>
                <w:bCs/>
                <w:kern w:val="0"/>
                <w:szCs w:val="21"/>
              </w:rPr>
              <w:t>年度研究项目</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张沛康</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复旦大学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80</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学术论文数据公开条例的法理逻辑与优化路径研究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李</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鹏</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同济大学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81</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职业教育产教融合型组织的法律身份问题研究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方思越</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同济大学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82</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数智化技术赋能大学制度治理研究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李</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琳</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华东师范大学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83</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人口变动背景下上海市普惠托育治理模式的政策选择与执行评估研究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谢阳薇</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华东师范大学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84</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上海高校合规体系建设的国际视域与本土化路径研究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李德旺</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上海财经大学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85</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学位撤销的瑕疵继承及其截断研究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魏孝伟</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上海大学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86</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高校应届毕业生申请落户权益保护实证研究——以上海</w:t>
            </w:r>
            <w:r>
              <w:rPr>
                <w:rFonts w:ascii="仿宋_GB2312" w:eastAsia="仿宋_GB2312" w:hAnsi="仿宋_GB2312" w:cs="仿宋_GB2312" w:hint="eastAsia"/>
                <w:color w:val="000000"/>
                <w:kern w:val="0"/>
                <w:sz w:val="22"/>
                <w:szCs w:val="22"/>
                <w:lang/>
              </w:rPr>
              <w:t>30</w:t>
            </w:r>
            <w:r>
              <w:rPr>
                <w:rFonts w:ascii="仿宋_GB2312" w:eastAsia="仿宋_GB2312" w:hAnsi="仿宋_GB2312" w:cs="仿宋_GB2312" w:hint="eastAsia"/>
                <w:color w:val="000000"/>
                <w:kern w:val="0"/>
                <w:sz w:val="22"/>
                <w:szCs w:val="22"/>
                <w:lang/>
              </w:rPr>
              <w:t>个案例为样本</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0"/>
                <w:lang/>
              </w:rPr>
              <w:t>尹</w:t>
            </w:r>
            <w:r>
              <w:rPr>
                <w:rFonts w:ascii="仿宋_GB2312" w:eastAsia="仿宋_GB2312" w:hAnsi="仿宋_GB2312" w:cs="仿宋_GB2312" w:hint="eastAsia"/>
                <w:color w:val="000000"/>
                <w:kern w:val="0"/>
                <w:sz w:val="20"/>
                <w:lang/>
              </w:rPr>
              <w:t xml:space="preserve">  </w:t>
            </w:r>
            <w:r>
              <w:rPr>
                <w:rFonts w:ascii="仿宋_GB2312" w:eastAsia="仿宋_GB2312" w:hAnsi="仿宋_GB2312" w:cs="仿宋_GB2312" w:hint="eastAsia"/>
                <w:color w:val="000000"/>
                <w:kern w:val="0"/>
                <w:sz w:val="20"/>
                <w:lang/>
              </w:rPr>
              <w:t>晗</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华东政法大学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87</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教育法典编纂中教材条款的体系化构建路径研究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9</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 w:val="20"/>
                <w:lang/>
              </w:rPr>
              <w:t>马</w:t>
            </w:r>
            <w:r>
              <w:rPr>
                <w:rFonts w:ascii="仿宋_GB2312" w:eastAsia="仿宋_GB2312" w:hAnsi="仿宋_GB2312" w:cs="仿宋_GB2312" w:hint="eastAsia"/>
                <w:color w:val="000000"/>
                <w:kern w:val="0"/>
                <w:sz w:val="20"/>
                <w:lang/>
              </w:rPr>
              <w:t xml:space="preserve">  </w:t>
            </w:r>
            <w:r>
              <w:rPr>
                <w:rFonts w:ascii="仿宋_GB2312" w:eastAsia="仿宋_GB2312" w:hAnsi="仿宋_GB2312" w:cs="仿宋_GB2312" w:hint="eastAsia"/>
                <w:color w:val="000000"/>
                <w:kern w:val="0"/>
                <w:sz w:val="20"/>
                <w:lang/>
              </w:rPr>
              <w:t>迅</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color w:val="000000"/>
                <w:kern w:val="0"/>
                <w:sz w:val="22"/>
                <w:szCs w:val="22"/>
                <w:lang/>
              </w:rPr>
              <w:t>华东政法大学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88</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《学位法》实施背景下学位获得权的体系化保障研究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10</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0"/>
                <w:lang/>
              </w:rPr>
              <w:t>黄</w:t>
            </w:r>
            <w:r>
              <w:rPr>
                <w:rFonts w:ascii="仿宋_GB2312" w:eastAsia="仿宋_GB2312" w:hAnsi="仿宋_GB2312" w:cs="仿宋_GB2312" w:hint="eastAsia"/>
                <w:color w:val="000000"/>
                <w:kern w:val="0"/>
                <w:sz w:val="20"/>
                <w:lang/>
              </w:rPr>
              <w:t xml:space="preserve">  </w:t>
            </w:r>
            <w:r>
              <w:rPr>
                <w:rFonts w:ascii="仿宋_GB2312" w:eastAsia="仿宋_GB2312" w:hAnsi="仿宋_GB2312" w:cs="仿宋_GB2312" w:hint="eastAsia"/>
                <w:color w:val="000000"/>
                <w:kern w:val="0"/>
                <w:sz w:val="20"/>
                <w:lang/>
              </w:rPr>
              <w:t>硕</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华东政法大学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89</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法国《教育法典》基本原则的内涵、功能及其对我国教育法典编纂的参考意义研究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11</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0"/>
                <w:lang/>
              </w:rPr>
              <w:t>刘</w:t>
            </w:r>
            <w:r>
              <w:rPr>
                <w:rFonts w:ascii="仿宋_GB2312" w:eastAsia="仿宋_GB2312" w:hAnsi="仿宋_GB2312" w:cs="仿宋_GB2312" w:hint="eastAsia"/>
                <w:color w:val="000000"/>
                <w:kern w:val="0"/>
                <w:sz w:val="20"/>
                <w:lang/>
              </w:rPr>
              <w:t xml:space="preserve">  </w:t>
            </w:r>
            <w:r>
              <w:rPr>
                <w:rFonts w:ascii="仿宋_GB2312" w:eastAsia="仿宋_GB2312" w:hAnsi="仿宋_GB2312" w:cs="仿宋_GB2312" w:hint="eastAsia"/>
                <w:color w:val="000000"/>
                <w:kern w:val="0"/>
                <w:sz w:val="20"/>
                <w:lang/>
              </w:rPr>
              <w:t>玥</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华东政法大学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90</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我国教育法典基本原则建构研究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12</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0"/>
                <w:lang/>
              </w:rPr>
              <w:t>栾绍兴</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华东政法大学</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91</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教育惩戒的法律衔接机制研究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13</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柯</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心</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上海政法学院</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92</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高校思想政治教育法治化研究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14</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王成汉</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上海政法学院</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93</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新时代高校法务机构与外部主体法治协同机制完善研究</w:t>
            </w:r>
          </w:p>
        </w:tc>
      </w:tr>
      <w:tr w:rsidR="001163A6">
        <w:trPr>
          <w:trHeight w:val="3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15</w:t>
            </w:r>
          </w:p>
        </w:tc>
        <w:tc>
          <w:tcPr>
            <w:tcW w:w="111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李</w:t>
            </w:r>
            <w:r>
              <w:rPr>
                <w:rFonts w:ascii="仿宋_GB2312" w:eastAsia="仿宋_GB2312" w:hAnsi="仿宋_GB2312" w:cs="仿宋_GB2312" w:hint="eastAsia"/>
                <w:color w:val="000000"/>
                <w:kern w:val="0"/>
                <w:sz w:val="22"/>
                <w:szCs w:val="22"/>
                <w:lang/>
              </w:rPr>
              <w:t xml:space="preserve">  </w:t>
            </w:r>
            <w:r>
              <w:rPr>
                <w:rFonts w:ascii="仿宋_GB2312" w:eastAsia="仿宋_GB2312" w:hAnsi="仿宋_GB2312" w:cs="仿宋_GB2312" w:hint="eastAsia"/>
                <w:color w:val="000000"/>
                <w:kern w:val="0"/>
                <w:sz w:val="22"/>
                <w:szCs w:val="22"/>
                <w:lang/>
              </w:rPr>
              <w:t>旺</w:t>
            </w:r>
          </w:p>
        </w:tc>
        <w:tc>
          <w:tcPr>
            <w:tcW w:w="1815"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22"/>
                <w:szCs w:val="22"/>
                <w:lang/>
              </w:rPr>
              <w:t>上海电子信息职业技术学院</w:t>
            </w:r>
          </w:p>
        </w:tc>
        <w:tc>
          <w:tcPr>
            <w:tcW w:w="1815"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kern w:val="0"/>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4</w:t>
            </w:r>
            <w:r>
              <w:rPr>
                <w:rFonts w:ascii="仿宋_GB2312" w:eastAsia="仿宋_GB2312" w:hAnsi="仿宋_GB2312" w:cs="仿宋_GB2312" w:hint="eastAsia"/>
                <w:szCs w:val="21"/>
              </w:rPr>
              <w:t>JYFXR0</w:t>
            </w:r>
            <w:r>
              <w:rPr>
                <w:rFonts w:ascii="仿宋_GB2312" w:eastAsia="仿宋_GB2312" w:hAnsi="仿宋_GB2312" w:cs="仿宋_GB2312" w:hint="eastAsia"/>
                <w:szCs w:val="21"/>
              </w:rPr>
              <w:t>94</w:t>
            </w:r>
          </w:p>
        </w:tc>
        <w:tc>
          <w:tcPr>
            <w:tcW w:w="394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2"/>
                <w:szCs w:val="22"/>
                <w:lang/>
              </w:rPr>
              <w:t>新型高职院校制度体系建设研究</w:t>
            </w:r>
          </w:p>
        </w:tc>
      </w:tr>
    </w:tbl>
    <w:p w:rsidR="001163A6" w:rsidRDefault="001163A6">
      <w:pPr>
        <w:spacing w:line="540" w:lineRule="exact"/>
        <w:ind w:rightChars="100" w:right="210"/>
        <w:jc w:val="left"/>
        <w:rPr>
          <w:rFonts w:ascii="仿宋_GB2312" w:eastAsia="仿宋_GB2312"/>
          <w:sz w:val="30"/>
          <w:szCs w:val="30"/>
        </w:rPr>
      </w:pPr>
    </w:p>
    <w:p w:rsidR="001163A6" w:rsidRDefault="001163A6">
      <w:pPr>
        <w:spacing w:line="540" w:lineRule="exact"/>
        <w:ind w:rightChars="100" w:right="210"/>
        <w:jc w:val="left"/>
        <w:rPr>
          <w:rFonts w:ascii="黑体" w:eastAsia="黑体" w:hAnsi="黑体"/>
          <w:spacing w:val="-4"/>
          <w:sz w:val="30"/>
          <w:szCs w:val="30"/>
        </w:rPr>
      </w:pPr>
    </w:p>
    <w:p w:rsidR="001163A6" w:rsidRDefault="001163A6">
      <w:pPr>
        <w:spacing w:line="540" w:lineRule="exact"/>
        <w:ind w:rightChars="100" w:right="210"/>
        <w:jc w:val="left"/>
        <w:rPr>
          <w:rFonts w:ascii="黑体" w:eastAsia="黑体" w:hAnsi="黑体" w:hint="eastAsia"/>
          <w:spacing w:val="-4"/>
          <w:sz w:val="30"/>
          <w:szCs w:val="30"/>
        </w:rPr>
      </w:pPr>
    </w:p>
    <w:p w:rsidR="0025009D" w:rsidRDefault="0025009D">
      <w:pPr>
        <w:spacing w:line="540" w:lineRule="exact"/>
        <w:ind w:rightChars="100" w:right="210"/>
        <w:jc w:val="left"/>
        <w:rPr>
          <w:rFonts w:ascii="黑体" w:eastAsia="黑体" w:hAnsi="黑体"/>
          <w:spacing w:val="-4"/>
          <w:sz w:val="30"/>
          <w:szCs w:val="30"/>
        </w:rPr>
      </w:pPr>
    </w:p>
    <w:p w:rsidR="001163A6" w:rsidRDefault="006B6DFD">
      <w:pPr>
        <w:spacing w:line="540" w:lineRule="exact"/>
        <w:ind w:rightChars="100" w:right="210"/>
        <w:jc w:val="left"/>
        <w:rPr>
          <w:rFonts w:ascii="黑体" w:eastAsia="黑体"/>
          <w:spacing w:val="-4"/>
          <w:sz w:val="32"/>
          <w:szCs w:val="32"/>
        </w:rPr>
      </w:pPr>
      <w:r>
        <w:rPr>
          <w:rFonts w:ascii="黑体" w:eastAsia="黑体" w:hAnsi="黑体" w:hint="eastAsia"/>
          <w:spacing w:val="-4"/>
          <w:sz w:val="32"/>
          <w:szCs w:val="32"/>
        </w:rPr>
        <w:t>附件</w:t>
      </w:r>
      <w:r>
        <w:rPr>
          <w:rFonts w:ascii="黑体" w:eastAsia="黑体" w:hAnsi="黑体" w:hint="eastAsia"/>
          <w:spacing w:val="-4"/>
          <w:sz w:val="32"/>
          <w:szCs w:val="32"/>
        </w:rPr>
        <w:t>2</w:t>
      </w:r>
    </w:p>
    <w:p w:rsidR="001163A6" w:rsidRDefault="001163A6">
      <w:pPr>
        <w:spacing w:line="540" w:lineRule="exact"/>
        <w:ind w:rightChars="100" w:right="210"/>
        <w:jc w:val="left"/>
        <w:rPr>
          <w:rFonts w:ascii="黑体" w:eastAsia="黑体"/>
          <w:spacing w:val="-4"/>
          <w:sz w:val="30"/>
          <w:szCs w:val="30"/>
        </w:rPr>
      </w:pPr>
    </w:p>
    <w:p w:rsidR="001163A6" w:rsidRDefault="006B6DFD">
      <w:pPr>
        <w:spacing w:line="540" w:lineRule="exact"/>
        <w:ind w:rightChars="100" w:right="210"/>
        <w:jc w:val="center"/>
        <w:rPr>
          <w:rFonts w:ascii="方正小标宋简体" w:eastAsia="方正小标宋简体"/>
          <w:spacing w:val="-4"/>
          <w:sz w:val="38"/>
          <w:szCs w:val="38"/>
        </w:rPr>
      </w:pPr>
      <w:r>
        <w:rPr>
          <w:rFonts w:ascii="方正小标宋简体" w:eastAsia="方正小标宋简体" w:hint="eastAsia"/>
          <w:spacing w:val="-4"/>
          <w:sz w:val="38"/>
          <w:szCs w:val="38"/>
        </w:rPr>
        <w:t>202</w:t>
      </w:r>
      <w:r>
        <w:rPr>
          <w:rFonts w:ascii="方正小标宋简体" w:eastAsia="方正小标宋简体" w:hint="eastAsia"/>
          <w:spacing w:val="-4"/>
          <w:sz w:val="38"/>
          <w:szCs w:val="38"/>
        </w:rPr>
        <w:t>4</w:t>
      </w:r>
      <w:r>
        <w:rPr>
          <w:rFonts w:ascii="方正小标宋简体" w:eastAsia="方正小标宋简体" w:hint="eastAsia"/>
          <w:spacing w:val="-4"/>
          <w:sz w:val="38"/>
          <w:szCs w:val="38"/>
        </w:rPr>
        <w:t>年度“上海市教育法学人才培养计划”</w:t>
      </w:r>
    </w:p>
    <w:p w:rsidR="001163A6" w:rsidRDefault="006B6DFD">
      <w:pPr>
        <w:spacing w:line="540" w:lineRule="exact"/>
        <w:ind w:rightChars="100" w:right="210"/>
        <w:jc w:val="center"/>
        <w:rPr>
          <w:rFonts w:ascii="方正小标宋简体" w:eastAsia="方正小标宋简体" w:hAnsi="宋体" w:cs="宋体"/>
          <w:color w:val="FF0000"/>
          <w:kern w:val="0"/>
          <w:sz w:val="38"/>
          <w:szCs w:val="38"/>
        </w:rPr>
      </w:pPr>
      <w:r>
        <w:rPr>
          <w:rFonts w:ascii="方正小标宋简体" w:eastAsia="方正小标宋简体" w:hint="eastAsia"/>
          <w:spacing w:val="-4"/>
          <w:sz w:val="38"/>
          <w:szCs w:val="38"/>
        </w:rPr>
        <w:t>入选人员</w:t>
      </w:r>
      <w:r>
        <w:rPr>
          <w:rFonts w:ascii="方正小标宋简体" w:eastAsia="方正小标宋简体" w:hAnsi="黑体" w:cs="宋体" w:hint="eastAsia"/>
          <w:color w:val="000000"/>
          <w:kern w:val="0"/>
          <w:sz w:val="38"/>
          <w:szCs w:val="38"/>
        </w:rPr>
        <w:t>任务表</w:t>
      </w:r>
    </w:p>
    <w:p w:rsidR="001163A6" w:rsidRDefault="006B6DFD">
      <w:pPr>
        <w:spacing w:line="300" w:lineRule="exact"/>
        <w:ind w:right="363"/>
        <w:jc w:val="left"/>
        <w:rPr>
          <w:rFonts w:ascii="黑体" w:eastAsia="黑体"/>
          <w:sz w:val="10"/>
          <w:szCs w:val="10"/>
        </w:rPr>
      </w:pPr>
      <w:r>
        <w:rPr>
          <w:rFonts w:ascii="黑体" w:eastAsia="黑体" w:hint="eastAsia"/>
          <w:sz w:val="10"/>
          <w:szCs w:val="10"/>
        </w:rPr>
        <w:t xml:space="preserve"> </w:t>
      </w:r>
    </w:p>
    <w:tbl>
      <w:tblPr>
        <w:tblW w:w="93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1233"/>
        <w:gridCol w:w="1617"/>
        <w:gridCol w:w="1800"/>
        <w:gridCol w:w="3983"/>
      </w:tblGrid>
      <w:tr w:rsidR="001163A6">
        <w:trPr>
          <w:trHeight w:val="400"/>
        </w:trPr>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pPr>
              <w:spacing w:line="440" w:lineRule="exact"/>
              <w:ind w:right="-167"/>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spacing w:line="440" w:lineRule="exact"/>
              <w:ind w:leftChars="-91" w:left="-191" w:right="-167"/>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姓名</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spacing w:line="440" w:lineRule="exact"/>
              <w:ind w:leftChars="-21" w:left="-44" w:right="-167" w:firstLineChars="20" w:firstLine="42"/>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单位</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spacing w:line="440" w:lineRule="exact"/>
              <w:ind w:right="-167"/>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人才编号</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spacing w:line="440" w:lineRule="exact"/>
              <w:ind w:right="-167"/>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202</w:t>
            </w:r>
            <w:r>
              <w:rPr>
                <w:rFonts w:ascii="仿宋_GB2312" w:eastAsia="仿宋_GB2312" w:hAnsi="仿宋_GB2312" w:cs="仿宋_GB2312" w:hint="eastAsia"/>
                <w:kern w:val="0"/>
                <w:szCs w:val="21"/>
              </w:rPr>
              <w:t>5</w:t>
            </w:r>
            <w:r>
              <w:rPr>
                <w:rFonts w:ascii="仿宋_GB2312" w:eastAsia="仿宋_GB2312" w:hAnsi="仿宋_GB2312" w:cs="仿宋_GB2312" w:hint="eastAsia"/>
                <w:kern w:val="0"/>
                <w:szCs w:val="21"/>
              </w:rPr>
              <w:t>年度研究项目</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陈吉栋</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同济大学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2023JYFXR062</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高校科研数据价值利用的法律保障研究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李玲玲</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同济大学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2023JYFXR063</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契约理论视阈下章程对高校内部治理的规制研究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罗早西</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东华大学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2023JYFXR064</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法律视角下教育数字化的城乡差异研究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王同彤</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华东师范大学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2023JYFXR065</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大学新型研发机构协同治理研究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陈肇新</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华东师范大学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2023JYFXR066</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学位撤销的无因性研究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秦凯丰</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上海大学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2023JYFXR067</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公办高校教育发展基金会接受捐赠的关联交易规制研究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袁</w:t>
            </w: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color w:val="000000"/>
                <w:kern w:val="0"/>
                <w:szCs w:val="21"/>
              </w:rPr>
              <w:t>曾</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上海大学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2023JYFXR068</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“认知争夺”下的人工智能使用规则研究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徐</w:t>
            </w: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color w:val="000000"/>
                <w:kern w:val="0"/>
                <w:szCs w:val="21"/>
              </w:rPr>
              <w:t>聪</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上海大学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2023JYFXR069</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高校海外人才引进中的安全风险防范机制研究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林建玲</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上海大学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2023JYFXR070</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冲突与协调：高校管理中学生利益诉求表达机制研究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徐</w:t>
            </w: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color w:val="000000"/>
                <w:kern w:val="0"/>
                <w:szCs w:val="21"/>
              </w:rPr>
              <w:t>峰</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上海海事大学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2023JYFXR071</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依法治校背景下高校总法律顾问制度的构建研究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丁福金</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华东政法大学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2023JYFXR072</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招生制度的价值功能及改革路径研究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王美丽</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华东政法大学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2023JYFXR073</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高校基金会</w:t>
            </w:r>
            <w:r>
              <w:rPr>
                <w:rFonts w:ascii="仿宋_GB2312" w:eastAsia="仿宋_GB2312" w:hAnsi="仿宋_GB2312" w:cs="仿宋_GB2312" w:hint="eastAsia"/>
                <w:szCs w:val="21"/>
              </w:rPr>
              <w:t>运行</w:t>
            </w:r>
            <w:r>
              <w:rPr>
                <w:rFonts w:ascii="仿宋_GB2312" w:eastAsia="仿宋_GB2312" w:hAnsi="仿宋_GB2312" w:cs="仿宋_GB2312" w:hint="eastAsia"/>
                <w:szCs w:val="21"/>
              </w:rPr>
              <w:t>法律问题</w:t>
            </w:r>
            <w:r>
              <w:rPr>
                <w:rFonts w:ascii="仿宋_GB2312" w:eastAsia="仿宋_GB2312" w:hAnsi="仿宋_GB2312" w:cs="仿宋_GB2312" w:hint="eastAsia"/>
                <w:szCs w:val="21"/>
              </w:rPr>
              <w:t>及</w:t>
            </w:r>
            <w:r>
              <w:rPr>
                <w:rFonts w:ascii="仿宋_GB2312" w:eastAsia="仿宋_GB2312" w:hAnsi="仿宋_GB2312" w:cs="仿宋_GB2312" w:hint="eastAsia"/>
                <w:szCs w:val="21"/>
              </w:rPr>
              <w:t>案例研究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周海源</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华东政法大学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2023JYFXR074</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《教师法》修改问题研究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万</w:t>
            </w: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color w:val="000000"/>
                <w:kern w:val="0"/>
                <w:szCs w:val="21"/>
              </w:rPr>
              <w:t>圆</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华东政法大学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2023JYFXR075</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国家教育考试招生立法的必要性与路径研究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欧阳天健</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华东政法大学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2023JYFXR076</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营利性民办学校的税收法律问题研究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孙</w:t>
            </w:r>
            <w:r>
              <w:rPr>
                <w:rFonts w:ascii="仿宋_GB2312" w:eastAsia="仿宋_GB2312" w:hAnsi="仿宋_GB2312" w:cs="仿宋_GB2312" w:hint="eastAsia"/>
                <w:color w:val="000000"/>
                <w:kern w:val="0"/>
                <w:szCs w:val="21"/>
              </w:rPr>
              <w:t xml:space="preserve">  </w:t>
            </w:r>
            <w:r>
              <w:rPr>
                <w:rFonts w:ascii="仿宋_GB2312" w:eastAsia="仿宋_GB2312" w:hAnsi="仿宋_GB2312" w:cs="仿宋_GB2312" w:hint="eastAsia"/>
                <w:color w:val="000000"/>
                <w:kern w:val="0"/>
                <w:szCs w:val="21"/>
              </w:rPr>
              <w:t>昱</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华东政法大学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2023JYFXR077</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美国州教育法典翻译与借鉴</w:t>
            </w:r>
            <w:r>
              <w:rPr>
                <w:rFonts w:ascii="仿宋_GB2312" w:eastAsia="仿宋_GB2312" w:hAnsi="仿宋_GB2312" w:cs="仿宋_GB2312" w:hint="eastAsia"/>
                <w:szCs w:val="21"/>
              </w:rPr>
              <w:t>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崔梦豪</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华东政法大学</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2023JYFXR078</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学位法背景下硕士</w:t>
            </w:r>
            <w:r>
              <w:rPr>
                <w:rFonts w:ascii="仿宋_GB2312" w:eastAsia="仿宋_GB2312" w:hAnsi="仿宋_GB2312" w:cs="仿宋_GB2312" w:hint="eastAsia"/>
                <w:szCs w:val="21"/>
              </w:rPr>
              <w:t>学位</w:t>
            </w:r>
            <w:r>
              <w:rPr>
                <w:rFonts w:ascii="仿宋_GB2312" w:eastAsia="仿宋_GB2312" w:hAnsi="仿宋_GB2312" w:cs="仿宋_GB2312" w:hint="eastAsia"/>
                <w:szCs w:val="21"/>
              </w:rPr>
              <w:t>论文抽检制度研究</w:t>
            </w:r>
          </w:p>
        </w:tc>
      </w:tr>
      <w:tr w:rsidR="001163A6">
        <w:tc>
          <w:tcPr>
            <w:tcW w:w="744" w:type="dxa"/>
            <w:tcBorders>
              <w:top w:val="single" w:sz="4" w:space="0" w:color="000000"/>
              <w:left w:val="single" w:sz="4" w:space="0" w:color="000000"/>
              <w:bottom w:val="single" w:sz="4" w:space="0" w:color="000000"/>
              <w:right w:val="single" w:sz="4" w:space="0" w:color="000000"/>
            </w:tcBorders>
            <w:vAlign w:val="center"/>
          </w:tcPr>
          <w:p w:rsidR="001163A6" w:rsidRDefault="006B6DFD" w:rsidP="00543E05">
            <w:pPr>
              <w:widowControl/>
              <w:spacing w:beforeLines="50"/>
              <w:contextualSpacing/>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123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张西恒</w:t>
            </w:r>
          </w:p>
        </w:tc>
        <w:tc>
          <w:tcPr>
            <w:tcW w:w="1617"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上海政法学院</w:t>
            </w:r>
          </w:p>
        </w:tc>
        <w:tc>
          <w:tcPr>
            <w:tcW w:w="1800"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2023JYFXR079</w:t>
            </w:r>
          </w:p>
        </w:tc>
        <w:tc>
          <w:tcPr>
            <w:tcW w:w="3983" w:type="dxa"/>
            <w:tcBorders>
              <w:top w:val="single" w:sz="4" w:space="0" w:color="000000"/>
              <w:left w:val="nil"/>
              <w:bottom w:val="single" w:sz="4" w:space="0" w:color="000000"/>
              <w:right w:val="single" w:sz="4" w:space="0" w:color="000000"/>
            </w:tcBorders>
            <w:vAlign w:val="center"/>
          </w:tcPr>
          <w:p w:rsidR="001163A6" w:rsidRDefault="006B6DFD">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新就业群体教育纠纷预防与化解</w:t>
            </w:r>
          </w:p>
        </w:tc>
      </w:tr>
    </w:tbl>
    <w:p w:rsidR="001163A6" w:rsidRDefault="001163A6">
      <w:pPr>
        <w:spacing w:line="560" w:lineRule="exact"/>
        <w:rPr>
          <w:rFonts w:ascii="仿宋_GB2312" w:eastAsia="仿宋_GB2312" w:hAnsi="仿宋_GB2312" w:hint="eastAsia"/>
          <w:sz w:val="30"/>
          <w:szCs w:val="30"/>
        </w:rPr>
      </w:pPr>
    </w:p>
    <w:p w:rsidR="0025009D" w:rsidRDefault="0025009D" w:rsidP="0025009D">
      <w:pPr>
        <w:spacing w:line="540" w:lineRule="exact"/>
        <w:jc w:val="left"/>
        <w:rPr>
          <w:rFonts w:ascii="仿宋_GB2312" w:eastAsia="仿宋_GB2312"/>
          <w:sz w:val="30"/>
          <w:szCs w:val="30"/>
        </w:rPr>
      </w:pPr>
    </w:p>
    <w:p w:rsidR="0025009D" w:rsidRDefault="0025009D">
      <w:pPr>
        <w:spacing w:line="560" w:lineRule="exact"/>
        <w:rPr>
          <w:rFonts w:ascii="仿宋_GB2312" w:eastAsia="仿宋_GB2312" w:hAnsi="仿宋_GB2312"/>
          <w:sz w:val="30"/>
          <w:szCs w:val="30"/>
        </w:rPr>
      </w:pPr>
    </w:p>
    <w:tbl>
      <w:tblPr>
        <w:tblpPr w:leftFromText="180" w:rightFromText="180" w:vertAnchor="text" w:horzAnchor="margin" w:tblpY="652"/>
        <w:tblW w:w="0" w:type="auto"/>
        <w:tblBorders>
          <w:top w:val="single" w:sz="12" w:space="0" w:color="auto"/>
          <w:bottom w:val="single" w:sz="12" w:space="0" w:color="auto"/>
        </w:tblBorders>
        <w:tblLook w:val="04A0"/>
      </w:tblPr>
      <w:tblGrid>
        <w:gridCol w:w="4068"/>
        <w:gridCol w:w="4680"/>
        <w:gridCol w:w="289"/>
      </w:tblGrid>
      <w:tr w:rsidR="0025009D" w:rsidTr="0025009D">
        <w:tc>
          <w:tcPr>
            <w:tcW w:w="4068" w:type="dxa"/>
            <w:tcBorders>
              <w:tl2br w:val="nil"/>
              <w:tr2bl w:val="nil"/>
            </w:tcBorders>
          </w:tcPr>
          <w:p w:rsidR="0025009D" w:rsidRDefault="0025009D" w:rsidP="0025009D">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tl2br w:val="nil"/>
              <w:tr2bl w:val="nil"/>
            </w:tcBorders>
          </w:tcPr>
          <w:p w:rsidR="0025009D" w:rsidRDefault="0025009D" w:rsidP="0025009D">
            <w:pPr>
              <w:spacing w:line="560" w:lineRule="exact"/>
              <w:jc w:val="right"/>
              <w:rPr>
                <w:rFonts w:ascii="黑体" w:eastAsia="黑体"/>
                <w:sz w:val="28"/>
                <w:szCs w:val="28"/>
              </w:rPr>
            </w:pPr>
            <w:r>
              <w:rPr>
                <w:rFonts w:ascii="仿宋_GB2312" w:eastAsia="仿宋_GB2312" w:hint="eastAsia"/>
                <w:sz w:val="28"/>
                <w:szCs w:val="28"/>
              </w:rPr>
              <w:t>2024年11月7日印发</w:t>
            </w:r>
          </w:p>
        </w:tc>
        <w:tc>
          <w:tcPr>
            <w:tcW w:w="289" w:type="dxa"/>
            <w:tcBorders>
              <w:tl2br w:val="nil"/>
              <w:tr2bl w:val="nil"/>
            </w:tcBorders>
          </w:tcPr>
          <w:p w:rsidR="0025009D" w:rsidRDefault="0025009D" w:rsidP="0025009D">
            <w:pPr>
              <w:spacing w:line="560" w:lineRule="exact"/>
              <w:ind w:rightChars="171" w:right="359"/>
              <w:jc w:val="right"/>
              <w:rPr>
                <w:rFonts w:ascii="黑体" w:eastAsia="黑体"/>
                <w:sz w:val="28"/>
                <w:szCs w:val="28"/>
              </w:rPr>
            </w:pPr>
          </w:p>
        </w:tc>
      </w:tr>
    </w:tbl>
    <w:p w:rsidR="0025009D" w:rsidRDefault="0025009D">
      <w:pPr>
        <w:spacing w:line="540" w:lineRule="exact"/>
        <w:jc w:val="left"/>
        <w:rPr>
          <w:rFonts w:ascii="仿宋_GB2312" w:eastAsia="仿宋_GB2312"/>
          <w:sz w:val="30"/>
          <w:szCs w:val="30"/>
        </w:rPr>
      </w:pPr>
    </w:p>
    <w:sectPr w:rsidR="0025009D" w:rsidSect="001163A6">
      <w:footerReference w:type="even" r:id="rId6"/>
      <w:footerReference w:type="default" r:id="rId7"/>
      <w:pgSz w:w="11906" w:h="16838"/>
      <w:pgMar w:top="2098" w:right="1508" w:bottom="1714" w:left="1520" w:header="851" w:footer="1418"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DFD" w:rsidRDefault="006B6DFD" w:rsidP="001163A6">
      <w:r>
        <w:separator/>
      </w:r>
    </w:p>
  </w:endnote>
  <w:endnote w:type="continuationSeparator" w:id="0">
    <w:p w:rsidR="006B6DFD" w:rsidRDefault="006B6DFD" w:rsidP="00116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方正书宋_GBK"/>
    <w:charset w:val="00"/>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A6" w:rsidRDefault="001163A6">
    <w:pPr>
      <w:pStyle w:val="a3"/>
      <w:framePr w:wrap="around" w:vAnchor="text" w:hAnchor="margin" w:xAlign="outside" w:y="1"/>
      <w:rPr>
        <w:rStyle w:val="a5"/>
      </w:rPr>
    </w:pPr>
    <w:r>
      <w:rPr>
        <w:rStyle w:val="a5"/>
      </w:rPr>
      <w:fldChar w:fldCharType="begin"/>
    </w:r>
    <w:r w:rsidR="006B6DFD">
      <w:rPr>
        <w:rStyle w:val="a5"/>
      </w:rPr>
      <w:instrText xml:space="preserve">PAGE  </w:instrText>
    </w:r>
    <w:r>
      <w:rPr>
        <w:rStyle w:val="a5"/>
      </w:rPr>
      <w:fldChar w:fldCharType="separate"/>
    </w:r>
    <w:r w:rsidR="006B6DFD">
      <w:rPr>
        <w:rStyle w:val="a5"/>
      </w:rPr>
      <w:t>1</w:t>
    </w:r>
    <w:r>
      <w:rPr>
        <w:rStyle w:val="a5"/>
      </w:rPr>
      <w:fldChar w:fldCharType="end"/>
    </w:r>
  </w:p>
  <w:p w:rsidR="001163A6" w:rsidRDefault="001163A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A6" w:rsidRDefault="006B6DFD">
    <w:pPr>
      <w:pStyle w:val="a3"/>
      <w:framePr w:wrap="around" w:vAnchor="text" w:hAnchor="margin" w:xAlign="outside" w:y="1"/>
      <w:rPr>
        <w:rStyle w:val="a5"/>
        <w:rFonts w:ascii="宋体" w:hAnsi="宋体"/>
        <w:sz w:val="28"/>
      </w:rPr>
    </w:pPr>
    <w:r>
      <w:rPr>
        <w:rStyle w:val="a5"/>
        <w:rFonts w:ascii="宋体" w:hAnsi="宋体" w:hint="eastAsia"/>
        <w:sz w:val="28"/>
      </w:rPr>
      <w:t>—</w:t>
    </w:r>
    <w:r>
      <w:rPr>
        <w:rStyle w:val="a5"/>
        <w:rFonts w:ascii="宋体" w:hAnsi="宋体" w:hint="eastAsia"/>
        <w:sz w:val="28"/>
      </w:rPr>
      <w:t xml:space="preserve">  </w:t>
    </w:r>
    <w:r w:rsidR="001163A6">
      <w:rPr>
        <w:rStyle w:val="a5"/>
        <w:rFonts w:ascii="宋体" w:hAnsi="宋体"/>
        <w:sz w:val="28"/>
      </w:rPr>
      <w:fldChar w:fldCharType="begin"/>
    </w:r>
    <w:r>
      <w:rPr>
        <w:rStyle w:val="a5"/>
        <w:rFonts w:ascii="宋体" w:hAnsi="宋体"/>
        <w:sz w:val="28"/>
      </w:rPr>
      <w:instrText xml:space="preserve">PAGE  </w:instrText>
    </w:r>
    <w:r w:rsidR="001163A6">
      <w:rPr>
        <w:rStyle w:val="a5"/>
        <w:rFonts w:ascii="宋体" w:hAnsi="宋体"/>
        <w:sz w:val="28"/>
      </w:rPr>
      <w:fldChar w:fldCharType="separate"/>
    </w:r>
    <w:r>
      <w:rPr>
        <w:rStyle w:val="a5"/>
        <w:rFonts w:ascii="宋体" w:hAnsi="宋体"/>
        <w:noProof/>
        <w:sz w:val="28"/>
      </w:rPr>
      <w:t>1</w:t>
    </w:r>
    <w:r w:rsidR="001163A6">
      <w:rPr>
        <w:rStyle w:val="a5"/>
        <w:rFonts w:ascii="宋体" w:hAnsi="宋体"/>
        <w:sz w:val="28"/>
      </w:rPr>
      <w:fldChar w:fldCharType="end"/>
    </w:r>
    <w:r>
      <w:rPr>
        <w:rStyle w:val="a5"/>
        <w:rFonts w:ascii="宋体" w:hAnsi="宋体" w:hint="eastAsia"/>
        <w:sz w:val="28"/>
      </w:rPr>
      <w:t xml:space="preserve">  </w:t>
    </w:r>
    <w:r>
      <w:rPr>
        <w:rStyle w:val="a5"/>
        <w:rFonts w:ascii="宋体" w:hAnsi="宋体" w:hint="eastAsia"/>
        <w:sz w:val="28"/>
      </w:rPr>
      <w:t>—</w:t>
    </w:r>
  </w:p>
  <w:p w:rsidR="001163A6" w:rsidRDefault="001163A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DFD" w:rsidRDefault="006B6DFD" w:rsidP="001163A6">
      <w:r>
        <w:separator/>
      </w:r>
    </w:p>
  </w:footnote>
  <w:footnote w:type="continuationSeparator" w:id="0">
    <w:p w:rsidR="006B6DFD" w:rsidRDefault="006B6DFD" w:rsidP="00116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useAltKinsokuLineBreakRules/>
  </w:compat>
  <w:rsids>
    <w:rsidRoot w:val="3FAF9CB5"/>
    <w:rsid w:val="EF5BC255"/>
    <w:rsid w:val="00024907"/>
    <w:rsid w:val="00035F05"/>
    <w:rsid w:val="00056EC1"/>
    <w:rsid w:val="00094FC4"/>
    <w:rsid w:val="000C226B"/>
    <w:rsid w:val="000F348C"/>
    <w:rsid w:val="00112C10"/>
    <w:rsid w:val="001163A6"/>
    <w:rsid w:val="001354D5"/>
    <w:rsid w:val="00144DFA"/>
    <w:rsid w:val="00145BD0"/>
    <w:rsid w:val="00183763"/>
    <w:rsid w:val="001A1D49"/>
    <w:rsid w:val="001B3025"/>
    <w:rsid w:val="001C0F96"/>
    <w:rsid w:val="001F5455"/>
    <w:rsid w:val="0025009D"/>
    <w:rsid w:val="00252A00"/>
    <w:rsid w:val="00286A3E"/>
    <w:rsid w:val="00294260"/>
    <w:rsid w:val="002A230A"/>
    <w:rsid w:val="002A3CE4"/>
    <w:rsid w:val="002C7F1A"/>
    <w:rsid w:val="002D3402"/>
    <w:rsid w:val="002D4EF5"/>
    <w:rsid w:val="002D71E3"/>
    <w:rsid w:val="00303E9B"/>
    <w:rsid w:val="00312076"/>
    <w:rsid w:val="003479E7"/>
    <w:rsid w:val="003D3AB4"/>
    <w:rsid w:val="003D6DDA"/>
    <w:rsid w:val="003E4FAD"/>
    <w:rsid w:val="00414340"/>
    <w:rsid w:val="00444F67"/>
    <w:rsid w:val="004477E0"/>
    <w:rsid w:val="004806AD"/>
    <w:rsid w:val="00492148"/>
    <w:rsid w:val="004978BF"/>
    <w:rsid w:val="004A7871"/>
    <w:rsid w:val="004A7C58"/>
    <w:rsid w:val="004B14C9"/>
    <w:rsid w:val="004C141B"/>
    <w:rsid w:val="005155AB"/>
    <w:rsid w:val="00543E05"/>
    <w:rsid w:val="005927B4"/>
    <w:rsid w:val="005D6055"/>
    <w:rsid w:val="005E0EB6"/>
    <w:rsid w:val="005F4E0C"/>
    <w:rsid w:val="006078B9"/>
    <w:rsid w:val="00611F21"/>
    <w:rsid w:val="00623312"/>
    <w:rsid w:val="00625F17"/>
    <w:rsid w:val="006634B4"/>
    <w:rsid w:val="00667B97"/>
    <w:rsid w:val="00680FA6"/>
    <w:rsid w:val="006852C3"/>
    <w:rsid w:val="006B4CA1"/>
    <w:rsid w:val="006B6DFD"/>
    <w:rsid w:val="006C28B5"/>
    <w:rsid w:val="006E32CC"/>
    <w:rsid w:val="00701799"/>
    <w:rsid w:val="00702C25"/>
    <w:rsid w:val="0070452F"/>
    <w:rsid w:val="00704548"/>
    <w:rsid w:val="0074038F"/>
    <w:rsid w:val="00745286"/>
    <w:rsid w:val="00754887"/>
    <w:rsid w:val="00760FBF"/>
    <w:rsid w:val="0078034F"/>
    <w:rsid w:val="007B5579"/>
    <w:rsid w:val="007D2CE1"/>
    <w:rsid w:val="007D5333"/>
    <w:rsid w:val="0080616E"/>
    <w:rsid w:val="00896677"/>
    <w:rsid w:val="008A74FF"/>
    <w:rsid w:val="008E3D77"/>
    <w:rsid w:val="008F76D4"/>
    <w:rsid w:val="0090062F"/>
    <w:rsid w:val="00906540"/>
    <w:rsid w:val="009356BA"/>
    <w:rsid w:val="00955071"/>
    <w:rsid w:val="009717CD"/>
    <w:rsid w:val="009855E9"/>
    <w:rsid w:val="0099273C"/>
    <w:rsid w:val="009A5209"/>
    <w:rsid w:val="009D5141"/>
    <w:rsid w:val="009F098D"/>
    <w:rsid w:val="00A0587E"/>
    <w:rsid w:val="00A25ED1"/>
    <w:rsid w:val="00A31E83"/>
    <w:rsid w:val="00A458A8"/>
    <w:rsid w:val="00A47378"/>
    <w:rsid w:val="00A82097"/>
    <w:rsid w:val="00A97E74"/>
    <w:rsid w:val="00AA2AD8"/>
    <w:rsid w:val="00AA6013"/>
    <w:rsid w:val="00B03BDD"/>
    <w:rsid w:val="00B36E68"/>
    <w:rsid w:val="00B409C3"/>
    <w:rsid w:val="00B5787D"/>
    <w:rsid w:val="00BC3863"/>
    <w:rsid w:val="00BD4122"/>
    <w:rsid w:val="00C006C8"/>
    <w:rsid w:val="00C452CA"/>
    <w:rsid w:val="00C56E44"/>
    <w:rsid w:val="00C70473"/>
    <w:rsid w:val="00CD2925"/>
    <w:rsid w:val="00CD3591"/>
    <w:rsid w:val="00CE0901"/>
    <w:rsid w:val="00D0710F"/>
    <w:rsid w:val="00D50530"/>
    <w:rsid w:val="00D51BBA"/>
    <w:rsid w:val="00D540F3"/>
    <w:rsid w:val="00D570E8"/>
    <w:rsid w:val="00D7185A"/>
    <w:rsid w:val="00DE3403"/>
    <w:rsid w:val="00EA3773"/>
    <w:rsid w:val="00ED3BF6"/>
    <w:rsid w:val="00EF69E5"/>
    <w:rsid w:val="00F90E73"/>
    <w:rsid w:val="00FE259A"/>
    <w:rsid w:val="00FF63C3"/>
    <w:rsid w:val="3FAF9CB5"/>
    <w:rsid w:val="77DD6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A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163A6"/>
    <w:pPr>
      <w:tabs>
        <w:tab w:val="center" w:pos="4153"/>
        <w:tab w:val="right" w:pos="8306"/>
      </w:tabs>
      <w:snapToGrid w:val="0"/>
      <w:jc w:val="left"/>
    </w:pPr>
    <w:rPr>
      <w:sz w:val="18"/>
    </w:rPr>
  </w:style>
  <w:style w:type="paragraph" w:styleId="a4">
    <w:name w:val="header"/>
    <w:basedOn w:val="a"/>
    <w:qFormat/>
    <w:rsid w:val="001163A6"/>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1163A6"/>
  </w:style>
  <w:style w:type="paragraph" w:styleId="a6">
    <w:name w:val="List Paragraph"/>
    <w:basedOn w:val="a"/>
    <w:uiPriority w:val="34"/>
    <w:qFormat/>
    <w:rsid w:val="001163A6"/>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jw3218\Desktop\2024&#24180;&#25991;&#20214;&#27169;&#26495;\&#20844;&#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237</TotalTime>
  <Pages>4</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李倩</dc:creator>
  <cp:lastModifiedBy>刘瑜</cp:lastModifiedBy>
  <cp:revision>7</cp:revision>
  <cp:lastPrinted>2024-11-07T15:47:00Z</cp:lastPrinted>
  <dcterms:created xsi:type="dcterms:W3CDTF">2024-11-07T15:44:00Z</dcterms:created>
  <dcterms:modified xsi:type="dcterms:W3CDTF">2024-12-26T07:39:00Z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BC411553F599377DDE6F2C6705BE166A</vt:lpwstr>
  </property>
</Properties>
</file>